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E228" w14:textId="77777777" w:rsidR="004E6DD8" w:rsidRPr="00C447B5" w:rsidRDefault="005C3502" w:rsidP="005C3502">
      <w:pPr>
        <w:jc w:val="center"/>
        <w:rPr>
          <w:rFonts w:ascii="Times New Roman" w:hAnsi="Times New Roman" w:cs="Times New Roman"/>
          <w:b/>
        </w:rPr>
      </w:pPr>
      <w:r w:rsidRPr="00C447B5">
        <w:rPr>
          <w:rFonts w:ascii="Times New Roman" w:hAnsi="Times New Roman" w:cs="Times New Roman"/>
          <w:b/>
        </w:rPr>
        <w:t>Checklist of Documents/ details to be submitted for in-principle approval (Post allotment) for listing of securities issued under Rights Issues by already listed company</w:t>
      </w:r>
    </w:p>
    <w:tbl>
      <w:tblPr>
        <w:tblW w:w="10096" w:type="dxa"/>
        <w:tblInd w:w="-5" w:type="dxa"/>
        <w:tblLook w:val="04A0" w:firstRow="1" w:lastRow="0" w:firstColumn="1" w:lastColumn="0" w:noHBand="0" w:noVBand="1"/>
      </w:tblPr>
      <w:tblGrid>
        <w:gridCol w:w="1022"/>
        <w:gridCol w:w="5685"/>
        <w:gridCol w:w="3389"/>
      </w:tblGrid>
      <w:tr w:rsidR="005C3502" w:rsidRPr="00C447B5" w14:paraId="30F62C37" w14:textId="77777777" w:rsidTr="001600E2">
        <w:trPr>
          <w:trHeight w:val="315"/>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14:paraId="60D1D97E" w14:textId="77777777" w:rsidR="005C3502" w:rsidRPr="00C447B5" w:rsidRDefault="005C3502" w:rsidP="005C3502">
            <w:pPr>
              <w:spacing w:after="0" w:line="240" w:lineRule="auto"/>
              <w:rPr>
                <w:rFonts w:ascii="Times New Roman" w:eastAsia="Times New Roman" w:hAnsi="Times New Roman" w:cs="Times New Roman"/>
                <w:b/>
                <w:bCs/>
              </w:rPr>
            </w:pPr>
            <w:r w:rsidRPr="00C447B5">
              <w:rPr>
                <w:rFonts w:ascii="Times New Roman" w:eastAsia="Times New Roman" w:hAnsi="Times New Roman" w:cs="Times New Roman"/>
                <w:b/>
                <w:bCs/>
              </w:rPr>
              <w:t>Sr. No.</w:t>
            </w:r>
          </w:p>
        </w:tc>
        <w:tc>
          <w:tcPr>
            <w:tcW w:w="5685" w:type="dxa"/>
            <w:tcBorders>
              <w:top w:val="single" w:sz="4" w:space="0" w:color="auto"/>
              <w:left w:val="nil"/>
              <w:bottom w:val="single" w:sz="4" w:space="0" w:color="auto"/>
              <w:right w:val="single" w:sz="4" w:space="0" w:color="auto"/>
            </w:tcBorders>
            <w:shd w:val="clear" w:color="auto" w:fill="auto"/>
            <w:hideMark/>
          </w:tcPr>
          <w:p w14:paraId="6D91A31E" w14:textId="77777777" w:rsidR="005C3502" w:rsidRPr="00C447B5" w:rsidRDefault="005C3502" w:rsidP="005C3502">
            <w:pPr>
              <w:spacing w:after="0" w:line="240" w:lineRule="auto"/>
              <w:jc w:val="center"/>
              <w:rPr>
                <w:rFonts w:ascii="Times New Roman" w:eastAsia="Times New Roman" w:hAnsi="Times New Roman" w:cs="Times New Roman"/>
                <w:b/>
                <w:bCs/>
              </w:rPr>
            </w:pPr>
            <w:r w:rsidRPr="00C447B5">
              <w:rPr>
                <w:rFonts w:ascii="Times New Roman" w:eastAsia="Times New Roman" w:hAnsi="Times New Roman" w:cs="Times New Roman"/>
                <w:b/>
                <w:bCs/>
              </w:rPr>
              <w:t>Documents to be submitted</w:t>
            </w:r>
          </w:p>
        </w:tc>
        <w:tc>
          <w:tcPr>
            <w:tcW w:w="3389" w:type="dxa"/>
            <w:tcBorders>
              <w:top w:val="single" w:sz="4" w:space="0" w:color="auto"/>
              <w:left w:val="nil"/>
              <w:bottom w:val="single" w:sz="4" w:space="0" w:color="auto"/>
              <w:right w:val="single" w:sz="4" w:space="0" w:color="auto"/>
            </w:tcBorders>
            <w:shd w:val="clear" w:color="auto" w:fill="auto"/>
            <w:hideMark/>
          </w:tcPr>
          <w:p w14:paraId="072BA8C4" w14:textId="77777777" w:rsidR="005C3502" w:rsidRPr="00C447B5" w:rsidRDefault="005C3502" w:rsidP="005C3502">
            <w:pPr>
              <w:spacing w:after="0" w:line="240" w:lineRule="auto"/>
              <w:jc w:val="center"/>
              <w:rPr>
                <w:rFonts w:ascii="Times New Roman" w:eastAsia="Times New Roman" w:hAnsi="Times New Roman" w:cs="Times New Roman"/>
                <w:b/>
                <w:bCs/>
              </w:rPr>
            </w:pPr>
            <w:r w:rsidRPr="00C447B5">
              <w:rPr>
                <w:rFonts w:ascii="Times New Roman" w:eastAsia="Times New Roman" w:hAnsi="Times New Roman" w:cs="Times New Roman"/>
                <w:b/>
                <w:bCs/>
              </w:rPr>
              <w:t>Yes/No/Not Applicable</w:t>
            </w:r>
          </w:p>
        </w:tc>
      </w:tr>
      <w:tr w:rsidR="00186CC8" w:rsidRPr="00C447B5" w14:paraId="4A6264F2" w14:textId="77777777" w:rsidTr="001600E2">
        <w:trPr>
          <w:trHeight w:val="375"/>
        </w:trPr>
        <w:tc>
          <w:tcPr>
            <w:tcW w:w="1022" w:type="dxa"/>
            <w:tcBorders>
              <w:top w:val="nil"/>
              <w:left w:val="single" w:sz="4" w:space="0" w:color="auto"/>
              <w:bottom w:val="single" w:sz="4" w:space="0" w:color="auto"/>
              <w:right w:val="single" w:sz="4" w:space="0" w:color="auto"/>
            </w:tcBorders>
            <w:shd w:val="clear" w:color="auto" w:fill="auto"/>
          </w:tcPr>
          <w:p w14:paraId="2D7EA869" w14:textId="6C02C7AD" w:rsidR="00186CC8" w:rsidRPr="00C447B5" w:rsidRDefault="00186CC8"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nil"/>
              <w:left w:val="nil"/>
              <w:bottom w:val="single" w:sz="4" w:space="0" w:color="auto"/>
              <w:right w:val="single" w:sz="4" w:space="0" w:color="auto"/>
            </w:tcBorders>
            <w:shd w:val="clear" w:color="auto" w:fill="auto"/>
          </w:tcPr>
          <w:p w14:paraId="6F0F8F72" w14:textId="77777777" w:rsidR="00186CC8" w:rsidRPr="00C447B5" w:rsidRDefault="00186CC8" w:rsidP="005C3502">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Certified</w:t>
            </w:r>
            <w:r w:rsidR="001B1FA1" w:rsidRPr="00C447B5">
              <w:rPr>
                <w:rFonts w:ascii="Times New Roman" w:eastAsia="Times New Roman" w:hAnsi="Times New Roman" w:cs="Times New Roman"/>
              </w:rPr>
              <w:t xml:space="preserve"> </w:t>
            </w:r>
            <w:r w:rsidRPr="00C447B5">
              <w:rPr>
                <w:rFonts w:ascii="Times New Roman" w:eastAsia="Times New Roman" w:hAnsi="Times New Roman" w:cs="Times New Roman"/>
              </w:rPr>
              <w:t>true copy of the resolution passed by the Board of Directors for allotment of securities</w:t>
            </w:r>
          </w:p>
        </w:tc>
        <w:tc>
          <w:tcPr>
            <w:tcW w:w="3389" w:type="dxa"/>
            <w:tcBorders>
              <w:top w:val="nil"/>
              <w:left w:val="nil"/>
              <w:bottom w:val="single" w:sz="4" w:space="0" w:color="auto"/>
              <w:right w:val="single" w:sz="4" w:space="0" w:color="auto"/>
            </w:tcBorders>
            <w:shd w:val="clear" w:color="auto" w:fill="auto"/>
          </w:tcPr>
          <w:p w14:paraId="42FEF74F" w14:textId="77777777" w:rsidR="00186CC8" w:rsidRPr="00C447B5" w:rsidRDefault="00186CC8" w:rsidP="005C3502">
            <w:pPr>
              <w:spacing w:after="0" w:line="240" w:lineRule="auto"/>
              <w:jc w:val="center"/>
              <w:rPr>
                <w:rFonts w:ascii="Times New Roman" w:eastAsia="Times New Roman" w:hAnsi="Times New Roman" w:cs="Times New Roman"/>
              </w:rPr>
            </w:pPr>
          </w:p>
        </w:tc>
      </w:tr>
      <w:tr w:rsidR="005C3502" w:rsidRPr="00C447B5" w14:paraId="52E897E4" w14:textId="77777777" w:rsidTr="008B2049">
        <w:trPr>
          <w:trHeight w:val="422"/>
        </w:trPr>
        <w:tc>
          <w:tcPr>
            <w:tcW w:w="1022" w:type="dxa"/>
            <w:tcBorders>
              <w:top w:val="nil"/>
              <w:left w:val="single" w:sz="4" w:space="0" w:color="auto"/>
              <w:bottom w:val="single" w:sz="4" w:space="0" w:color="auto"/>
              <w:right w:val="single" w:sz="4" w:space="0" w:color="auto"/>
            </w:tcBorders>
            <w:shd w:val="clear" w:color="auto" w:fill="auto"/>
          </w:tcPr>
          <w:p w14:paraId="3BC76A30" w14:textId="41B324B8" w:rsidR="005C3502" w:rsidRPr="00C447B5" w:rsidRDefault="005C3502"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nil"/>
              <w:left w:val="nil"/>
              <w:bottom w:val="single" w:sz="4" w:space="0" w:color="auto"/>
              <w:right w:val="single" w:sz="4" w:space="0" w:color="auto"/>
            </w:tcBorders>
            <w:shd w:val="clear" w:color="auto" w:fill="auto"/>
            <w:hideMark/>
          </w:tcPr>
          <w:p w14:paraId="6C4177D8" w14:textId="2BAC5029" w:rsidR="001602B3" w:rsidRPr="00C447B5" w:rsidRDefault="00186CC8" w:rsidP="00BD2C9F">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Confirmation from the Company</w:t>
            </w:r>
            <w:r w:rsidR="001602B3" w:rsidRPr="00C447B5">
              <w:rPr>
                <w:rFonts w:ascii="Times New Roman" w:eastAsia="Times New Roman" w:hAnsi="Times New Roman" w:cs="Times New Roman"/>
              </w:rPr>
              <w:t xml:space="preserve"> as per Annexure </w:t>
            </w:r>
            <w:r w:rsidR="002078BA" w:rsidRPr="00C447B5">
              <w:rPr>
                <w:rFonts w:ascii="Times New Roman" w:eastAsia="Times New Roman" w:hAnsi="Times New Roman" w:cs="Times New Roman"/>
              </w:rPr>
              <w:t>I</w:t>
            </w:r>
          </w:p>
        </w:tc>
        <w:tc>
          <w:tcPr>
            <w:tcW w:w="3389" w:type="dxa"/>
            <w:tcBorders>
              <w:top w:val="nil"/>
              <w:left w:val="nil"/>
              <w:bottom w:val="single" w:sz="4" w:space="0" w:color="auto"/>
              <w:right w:val="single" w:sz="4" w:space="0" w:color="auto"/>
            </w:tcBorders>
            <w:shd w:val="clear" w:color="auto" w:fill="auto"/>
            <w:hideMark/>
          </w:tcPr>
          <w:p w14:paraId="269F9374" w14:textId="77777777" w:rsidR="005C3502" w:rsidRPr="00C447B5" w:rsidRDefault="005C3502" w:rsidP="005C3502">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456E9A" w:rsidRPr="00C447B5" w14:paraId="0EBD74CD" w14:textId="77777777" w:rsidTr="008B2049">
        <w:trPr>
          <w:trHeight w:val="422"/>
        </w:trPr>
        <w:tc>
          <w:tcPr>
            <w:tcW w:w="1022" w:type="dxa"/>
            <w:tcBorders>
              <w:top w:val="nil"/>
              <w:left w:val="single" w:sz="4" w:space="0" w:color="auto"/>
              <w:bottom w:val="single" w:sz="4" w:space="0" w:color="auto"/>
              <w:right w:val="single" w:sz="4" w:space="0" w:color="auto"/>
            </w:tcBorders>
            <w:shd w:val="clear" w:color="auto" w:fill="auto"/>
          </w:tcPr>
          <w:p w14:paraId="2D3F289B" w14:textId="77777777" w:rsidR="00456E9A" w:rsidRPr="00C447B5" w:rsidDel="002078BA" w:rsidRDefault="00456E9A"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nil"/>
              <w:left w:val="nil"/>
              <w:bottom w:val="single" w:sz="4" w:space="0" w:color="auto"/>
              <w:right w:val="single" w:sz="4" w:space="0" w:color="auto"/>
            </w:tcBorders>
            <w:shd w:val="clear" w:color="auto" w:fill="auto"/>
          </w:tcPr>
          <w:p w14:paraId="6B059806" w14:textId="6C1BACA5" w:rsidR="00456E9A" w:rsidRPr="00C447B5" w:rsidRDefault="00825B02" w:rsidP="00BD2C9F">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Certificate from the Merchant Banker that the issue is in compliance with the chapter III of SEBI (Issue of Capital &amp; Disclosure Requirement) Regulations, 2018 and that the issuer complies with requirements with the chapter III of SEBI (Issue of Capital &amp; Disclosure Requirement) Regulations, 2018</w:t>
            </w:r>
            <w:r w:rsidRPr="00C447B5">
              <w:rPr>
                <w:rFonts w:ascii="Times New Roman" w:eastAsia="Times New Roman" w:hAnsi="Times New Roman" w:cs="Times New Roman"/>
              </w:rPr>
              <w:tab/>
            </w:r>
          </w:p>
        </w:tc>
        <w:tc>
          <w:tcPr>
            <w:tcW w:w="3389" w:type="dxa"/>
            <w:tcBorders>
              <w:top w:val="nil"/>
              <w:left w:val="nil"/>
              <w:bottom w:val="single" w:sz="4" w:space="0" w:color="auto"/>
              <w:right w:val="single" w:sz="4" w:space="0" w:color="auto"/>
            </w:tcBorders>
            <w:shd w:val="clear" w:color="auto" w:fill="auto"/>
          </w:tcPr>
          <w:p w14:paraId="50A61697" w14:textId="77777777" w:rsidR="00456E9A" w:rsidRPr="00C447B5" w:rsidRDefault="00456E9A" w:rsidP="005C3502">
            <w:pPr>
              <w:spacing w:after="0" w:line="240" w:lineRule="auto"/>
              <w:jc w:val="center"/>
              <w:rPr>
                <w:rFonts w:ascii="Times New Roman" w:eastAsia="Times New Roman" w:hAnsi="Times New Roman" w:cs="Times New Roman"/>
              </w:rPr>
            </w:pPr>
          </w:p>
        </w:tc>
      </w:tr>
      <w:tr w:rsidR="001602B3" w:rsidRPr="00C447B5" w14:paraId="79B7D800" w14:textId="77777777" w:rsidTr="00AE11E2">
        <w:trPr>
          <w:trHeight w:val="908"/>
        </w:trPr>
        <w:tc>
          <w:tcPr>
            <w:tcW w:w="1022" w:type="dxa"/>
            <w:tcBorders>
              <w:top w:val="nil"/>
              <w:left w:val="single" w:sz="4" w:space="0" w:color="auto"/>
              <w:bottom w:val="single" w:sz="4" w:space="0" w:color="auto"/>
              <w:right w:val="single" w:sz="4" w:space="0" w:color="auto"/>
            </w:tcBorders>
            <w:shd w:val="clear" w:color="auto" w:fill="auto"/>
          </w:tcPr>
          <w:p w14:paraId="4017DBFF" w14:textId="7CBB2355" w:rsidR="001602B3" w:rsidRPr="00C447B5" w:rsidRDefault="001602B3"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nil"/>
              <w:left w:val="nil"/>
              <w:bottom w:val="single" w:sz="4" w:space="0" w:color="auto"/>
              <w:right w:val="single" w:sz="4" w:space="0" w:color="auto"/>
            </w:tcBorders>
            <w:shd w:val="clear" w:color="auto" w:fill="auto"/>
          </w:tcPr>
          <w:p w14:paraId="6E5F9B21" w14:textId="308033C5" w:rsidR="001602B3" w:rsidRPr="00C447B5" w:rsidRDefault="001602B3" w:rsidP="001602B3">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Shareholding pattern (Pre and Post issue) in format given as per Regulation 31</w:t>
            </w:r>
            <w:r w:rsidR="004D1E09" w:rsidRPr="00C447B5">
              <w:rPr>
                <w:rFonts w:ascii="Times New Roman" w:eastAsia="Times New Roman" w:hAnsi="Times New Roman" w:cs="Times New Roman"/>
              </w:rPr>
              <w:t xml:space="preserve"> (1)</w:t>
            </w:r>
            <w:r w:rsidRPr="00C447B5">
              <w:rPr>
                <w:rFonts w:ascii="Times New Roman" w:eastAsia="Times New Roman" w:hAnsi="Times New Roman" w:cs="Times New Roman"/>
              </w:rPr>
              <w:t xml:space="preserve"> of the SEBI (LODR) Reg., 2015. Also provide Post issue shareholding pattern in NEAPS.</w:t>
            </w:r>
          </w:p>
        </w:tc>
        <w:tc>
          <w:tcPr>
            <w:tcW w:w="3389" w:type="dxa"/>
            <w:tcBorders>
              <w:top w:val="nil"/>
              <w:left w:val="nil"/>
              <w:bottom w:val="single" w:sz="4" w:space="0" w:color="auto"/>
              <w:right w:val="single" w:sz="4" w:space="0" w:color="auto"/>
            </w:tcBorders>
            <w:shd w:val="clear" w:color="auto" w:fill="auto"/>
            <w:hideMark/>
          </w:tcPr>
          <w:p w14:paraId="64CF247E" w14:textId="77777777" w:rsidR="001602B3" w:rsidRPr="00C447B5" w:rsidRDefault="001602B3" w:rsidP="001602B3">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1602B3" w:rsidRPr="00C447B5" w14:paraId="6133D7D4" w14:textId="77777777" w:rsidTr="008B2049">
        <w:trPr>
          <w:trHeight w:val="630"/>
        </w:trPr>
        <w:tc>
          <w:tcPr>
            <w:tcW w:w="1022" w:type="dxa"/>
            <w:tcBorders>
              <w:top w:val="nil"/>
              <w:left w:val="single" w:sz="4" w:space="0" w:color="auto"/>
              <w:bottom w:val="single" w:sz="4" w:space="0" w:color="auto"/>
              <w:right w:val="single" w:sz="4" w:space="0" w:color="auto"/>
            </w:tcBorders>
            <w:shd w:val="clear" w:color="auto" w:fill="auto"/>
          </w:tcPr>
          <w:p w14:paraId="360A5B48" w14:textId="4927A63D" w:rsidR="001602B3" w:rsidRPr="00C447B5" w:rsidRDefault="001602B3"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nil"/>
              <w:left w:val="nil"/>
              <w:bottom w:val="single" w:sz="4" w:space="0" w:color="auto"/>
              <w:right w:val="single" w:sz="4" w:space="0" w:color="auto"/>
            </w:tcBorders>
            <w:shd w:val="clear" w:color="auto" w:fill="auto"/>
            <w:hideMark/>
          </w:tcPr>
          <w:p w14:paraId="465C9E9D" w14:textId="416681D7" w:rsidR="001602B3" w:rsidRPr="00C447B5" w:rsidRDefault="00D14F26" w:rsidP="00D14F26">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 xml:space="preserve">Letter of offer and soft copy of </w:t>
            </w:r>
            <w:r w:rsidR="001602B3" w:rsidRPr="00C447B5">
              <w:rPr>
                <w:rFonts w:ascii="Times New Roman" w:eastAsia="Times New Roman" w:hAnsi="Times New Roman" w:cs="Times New Roman"/>
              </w:rPr>
              <w:t>all material contracts mentioned in the final letter of Offer/Prospectus and not forming</w:t>
            </w:r>
            <w:r w:rsidRPr="00C447B5">
              <w:rPr>
                <w:rFonts w:ascii="Times New Roman" w:eastAsia="Times New Roman" w:hAnsi="Times New Roman" w:cs="Times New Roman"/>
              </w:rPr>
              <w:t xml:space="preserve"> a part of the above documents</w:t>
            </w:r>
            <w:r w:rsidR="003F3652" w:rsidRPr="00C447B5">
              <w:rPr>
                <w:rFonts w:ascii="Times New Roman" w:eastAsia="Times New Roman" w:hAnsi="Times New Roman" w:cs="Times New Roman"/>
              </w:rPr>
              <w:t xml:space="preserve"> </w:t>
            </w:r>
            <w:r w:rsidRPr="00C447B5">
              <w:rPr>
                <w:rFonts w:ascii="Times New Roman" w:eastAsia="Times New Roman" w:hAnsi="Times New Roman" w:cs="Times New Roman"/>
              </w:rPr>
              <w:t>(</w:t>
            </w:r>
            <w:r w:rsidR="001602B3" w:rsidRPr="00C447B5">
              <w:rPr>
                <w:rFonts w:ascii="Times New Roman" w:eastAsia="Times New Roman" w:hAnsi="Times New Roman" w:cs="Times New Roman"/>
              </w:rPr>
              <w:t xml:space="preserve">material contract must includes all the consents letter from issue management team and all the due diligence certificates submitted by </w:t>
            </w:r>
            <w:r w:rsidRPr="00C447B5">
              <w:rPr>
                <w:rFonts w:ascii="Times New Roman" w:eastAsia="Times New Roman" w:hAnsi="Times New Roman" w:cs="Times New Roman"/>
              </w:rPr>
              <w:t>Merchant Banker)</w:t>
            </w:r>
          </w:p>
        </w:tc>
        <w:tc>
          <w:tcPr>
            <w:tcW w:w="3389" w:type="dxa"/>
            <w:tcBorders>
              <w:top w:val="nil"/>
              <w:left w:val="nil"/>
              <w:bottom w:val="single" w:sz="4" w:space="0" w:color="auto"/>
              <w:right w:val="single" w:sz="4" w:space="0" w:color="auto"/>
            </w:tcBorders>
            <w:shd w:val="clear" w:color="auto" w:fill="auto"/>
            <w:hideMark/>
          </w:tcPr>
          <w:p w14:paraId="6A3DD57C" w14:textId="77777777" w:rsidR="001602B3" w:rsidRPr="00C447B5" w:rsidRDefault="001602B3" w:rsidP="001602B3">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1602B3" w:rsidRPr="00C447B5" w14:paraId="1E5155CA" w14:textId="77777777" w:rsidTr="008B2049">
        <w:trPr>
          <w:trHeight w:val="1260"/>
        </w:trPr>
        <w:tc>
          <w:tcPr>
            <w:tcW w:w="1022" w:type="dxa"/>
            <w:tcBorders>
              <w:top w:val="nil"/>
              <w:left w:val="single" w:sz="4" w:space="0" w:color="auto"/>
              <w:bottom w:val="single" w:sz="4" w:space="0" w:color="auto"/>
              <w:right w:val="single" w:sz="4" w:space="0" w:color="auto"/>
            </w:tcBorders>
            <w:shd w:val="clear" w:color="auto" w:fill="auto"/>
          </w:tcPr>
          <w:p w14:paraId="1CEBBB6E" w14:textId="48952955" w:rsidR="001602B3" w:rsidRPr="00C447B5" w:rsidRDefault="001602B3"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nil"/>
              <w:left w:val="nil"/>
              <w:bottom w:val="nil"/>
              <w:right w:val="nil"/>
            </w:tcBorders>
            <w:shd w:val="clear" w:color="auto" w:fill="auto"/>
          </w:tcPr>
          <w:p w14:paraId="1A823584" w14:textId="77777777" w:rsidR="001B1FA1" w:rsidRPr="00C447B5" w:rsidRDefault="001B1FA1" w:rsidP="001B1FA1">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 xml:space="preserve">Certificate from statutory auditors/practising auditors/ practising company secretary stating that </w:t>
            </w:r>
          </w:p>
          <w:p w14:paraId="104BD888" w14:textId="77777777" w:rsidR="001B1FA1" w:rsidRPr="00C447B5" w:rsidRDefault="001B1FA1" w:rsidP="001B1FA1">
            <w:pPr>
              <w:pStyle w:val="ListParagraph"/>
              <w:numPr>
                <w:ilvl w:val="0"/>
                <w:numId w:val="1"/>
              </w:numPr>
              <w:spacing w:after="0" w:line="240" w:lineRule="auto"/>
              <w:ind w:left="466"/>
              <w:jc w:val="both"/>
              <w:rPr>
                <w:rFonts w:ascii="Times New Roman" w:eastAsia="Times New Roman" w:hAnsi="Times New Roman" w:cs="Times New Roman"/>
              </w:rPr>
            </w:pPr>
            <w:r w:rsidRPr="00C447B5">
              <w:rPr>
                <w:rFonts w:ascii="Times New Roman" w:eastAsia="Times New Roman" w:hAnsi="Times New Roman" w:cs="Times New Roman"/>
              </w:rPr>
              <w:t>Allotment has been made as per the basis of allotment approved by the Designated Stock Exchange.</w:t>
            </w:r>
          </w:p>
          <w:p w14:paraId="48BE8923" w14:textId="77777777" w:rsidR="001602B3" w:rsidRPr="00C447B5" w:rsidRDefault="001B1FA1" w:rsidP="001B1FA1">
            <w:pPr>
              <w:pStyle w:val="ListParagraph"/>
              <w:numPr>
                <w:ilvl w:val="0"/>
                <w:numId w:val="1"/>
              </w:numPr>
              <w:spacing w:after="0" w:line="240" w:lineRule="auto"/>
              <w:ind w:left="481"/>
              <w:jc w:val="both"/>
              <w:rPr>
                <w:rFonts w:ascii="Times New Roman" w:eastAsia="Times New Roman" w:hAnsi="Times New Roman" w:cs="Times New Roman"/>
              </w:rPr>
            </w:pPr>
            <w:r w:rsidRPr="00C447B5">
              <w:rPr>
                <w:rFonts w:ascii="Times New Roman" w:eastAsia="Times New Roman" w:hAnsi="Times New Roman" w:cs="Times New Roman"/>
              </w:rPr>
              <w:t>Securities under lock-in (the certificate should include the distinctive numbers of securities under lock-in and date from and upto which these shares are under lock-in).</w:t>
            </w:r>
          </w:p>
        </w:tc>
        <w:tc>
          <w:tcPr>
            <w:tcW w:w="3389" w:type="dxa"/>
            <w:tcBorders>
              <w:top w:val="nil"/>
              <w:left w:val="single" w:sz="4" w:space="0" w:color="auto"/>
              <w:bottom w:val="single" w:sz="4" w:space="0" w:color="auto"/>
              <w:right w:val="single" w:sz="4" w:space="0" w:color="auto"/>
            </w:tcBorders>
            <w:shd w:val="clear" w:color="auto" w:fill="auto"/>
            <w:hideMark/>
          </w:tcPr>
          <w:p w14:paraId="509FD23D" w14:textId="77777777" w:rsidR="001602B3" w:rsidRPr="00C447B5" w:rsidRDefault="001602B3" w:rsidP="001602B3">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1602B3" w:rsidRPr="00C447B5" w14:paraId="5842E298" w14:textId="77777777" w:rsidTr="00456E9A">
        <w:trPr>
          <w:trHeight w:val="735"/>
        </w:trPr>
        <w:tc>
          <w:tcPr>
            <w:tcW w:w="1022" w:type="dxa"/>
            <w:tcBorders>
              <w:top w:val="nil"/>
              <w:left w:val="single" w:sz="4" w:space="0" w:color="auto"/>
              <w:bottom w:val="single" w:sz="4" w:space="0" w:color="auto"/>
              <w:right w:val="single" w:sz="4" w:space="0" w:color="auto"/>
            </w:tcBorders>
            <w:shd w:val="clear" w:color="auto" w:fill="auto"/>
          </w:tcPr>
          <w:p w14:paraId="3154E1E1" w14:textId="1D5F7427" w:rsidR="001602B3" w:rsidRPr="00C447B5" w:rsidRDefault="001602B3"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single" w:sz="4" w:space="0" w:color="auto"/>
              <w:left w:val="nil"/>
              <w:bottom w:val="single" w:sz="4" w:space="0" w:color="auto"/>
              <w:right w:val="single" w:sz="4" w:space="0" w:color="auto"/>
            </w:tcBorders>
            <w:shd w:val="clear" w:color="auto" w:fill="auto"/>
          </w:tcPr>
          <w:p w14:paraId="206A30C2" w14:textId="77777777" w:rsidR="001602B3" w:rsidRPr="00C447B5" w:rsidRDefault="001B1FA1" w:rsidP="001602B3">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Confirmation from Lead Managers that devolvement notices have been sent to underwriters (applicable if the issue has devolved).</w:t>
            </w:r>
          </w:p>
        </w:tc>
        <w:tc>
          <w:tcPr>
            <w:tcW w:w="3389" w:type="dxa"/>
            <w:tcBorders>
              <w:top w:val="nil"/>
              <w:left w:val="nil"/>
              <w:bottom w:val="single" w:sz="4" w:space="0" w:color="auto"/>
              <w:right w:val="single" w:sz="4" w:space="0" w:color="auto"/>
            </w:tcBorders>
            <w:shd w:val="clear" w:color="auto" w:fill="auto"/>
            <w:hideMark/>
          </w:tcPr>
          <w:p w14:paraId="24DD48E9" w14:textId="77777777" w:rsidR="001602B3" w:rsidRPr="00C447B5" w:rsidRDefault="001602B3" w:rsidP="001602B3">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1B1FA1" w:rsidRPr="00C447B5" w14:paraId="1EAE373A" w14:textId="77777777" w:rsidTr="00456E9A">
        <w:trPr>
          <w:trHeight w:val="630"/>
        </w:trPr>
        <w:tc>
          <w:tcPr>
            <w:tcW w:w="1022" w:type="dxa"/>
            <w:tcBorders>
              <w:top w:val="nil"/>
              <w:left w:val="single" w:sz="4" w:space="0" w:color="auto"/>
              <w:bottom w:val="single" w:sz="4" w:space="0" w:color="auto"/>
              <w:right w:val="single" w:sz="4" w:space="0" w:color="auto"/>
            </w:tcBorders>
            <w:shd w:val="clear" w:color="auto" w:fill="auto"/>
          </w:tcPr>
          <w:p w14:paraId="18FBB3CB" w14:textId="71F7C093" w:rsidR="001B1FA1" w:rsidRPr="00C447B5" w:rsidRDefault="001B1FA1"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nil"/>
              <w:left w:val="nil"/>
              <w:bottom w:val="nil"/>
              <w:right w:val="single" w:sz="4" w:space="0" w:color="auto"/>
            </w:tcBorders>
            <w:shd w:val="clear" w:color="auto" w:fill="auto"/>
            <w:hideMark/>
          </w:tcPr>
          <w:p w14:paraId="0B2D2CAB" w14:textId="77777777" w:rsidR="001B1FA1" w:rsidRPr="00C447B5" w:rsidRDefault="001B1FA1" w:rsidP="001B1FA1">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Statement of total rights entitlement as per the existing capital, rights shares actually allotted and shares kept in abeyance, if any to be given by the Company Secretary</w:t>
            </w:r>
          </w:p>
        </w:tc>
        <w:tc>
          <w:tcPr>
            <w:tcW w:w="3389" w:type="dxa"/>
            <w:tcBorders>
              <w:top w:val="nil"/>
              <w:left w:val="nil"/>
              <w:bottom w:val="single" w:sz="4" w:space="0" w:color="auto"/>
              <w:right w:val="single" w:sz="4" w:space="0" w:color="auto"/>
            </w:tcBorders>
            <w:shd w:val="clear" w:color="auto" w:fill="auto"/>
            <w:hideMark/>
          </w:tcPr>
          <w:p w14:paraId="5F175F41" w14:textId="77777777" w:rsidR="001B1FA1" w:rsidRPr="00C447B5" w:rsidRDefault="001B1FA1" w:rsidP="001B1FA1">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1B1FA1" w:rsidRPr="00C447B5" w14:paraId="6DB618E2" w14:textId="77777777" w:rsidTr="00456E9A">
        <w:trPr>
          <w:trHeight w:val="1260"/>
        </w:trPr>
        <w:tc>
          <w:tcPr>
            <w:tcW w:w="1022" w:type="dxa"/>
            <w:tcBorders>
              <w:top w:val="nil"/>
              <w:left w:val="single" w:sz="4" w:space="0" w:color="auto"/>
              <w:bottom w:val="single" w:sz="4" w:space="0" w:color="auto"/>
              <w:right w:val="single" w:sz="4" w:space="0" w:color="auto"/>
            </w:tcBorders>
            <w:shd w:val="clear" w:color="auto" w:fill="auto"/>
          </w:tcPr>
          <w:p w14:paraId="1C897427" w14:textId="48A3C163" w:rsidR="001B1FA1" w:rsidRPr="00C447B5" w:rsidRDefault="001B1FA1"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single" w:sz="4" w:space="0" w:color="auto"/>
              <w:left w:val="nil"/>
              <w:bottom w:val="single" w:sz="4" w:space="0" w:color="auto"/>
              <w:right w:val="single" w:sz="4" w:space="0" w:color="auto"/>
            </w:tcBorders>
            <w:shd w:val="clear" w:color="auto" w:fill="auto"/>
            <w:hideMark/>
          </w:tcPr>
          <w:p w14:paraId="6039CBF7" w14:textId="77777777" w:rsidR="001B1FA1" w:rsidRPr="00C447B5" w:rsidRDefault="001B1FA1" w:rsidP="001B1FA1">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Additional Documents applicable only in case of debt securities</w:t>
            </w:r>
          </w:p>
          <w:p w14:paraId="2452ADBB" w14:textId="77777777" w:rsidR="001B1FA1" w:rsidRPr="00C447B5" w:rsidRDefault="001B1FA1" w:rsidP="001B1FA1">
            <w:pPr>
              <w:pStyle w:val="ListParagraph"/>
              <w:numPr>
                <w:ilvl w:val="0"/>
                <w:numId w:val="4"/>
              </w:num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Certified true copy of the rating letter issued by rating agency for debt securities</w:t>
            </w:r>
          </w:p>
          <w:p w14:paraId="12DFA119" w14:textId="77777777" w:rsidR="001B1FA1" w:rsidRPr="00C447B5" w:rsidRDefault="001B1FA1" w:rsidP="001B1FA1">
            <w:pPr>
              <w:pStyle w:val="ListParagraph"/>
              <w:numPr>
                <w:ilvl w:val="0"/>
                <w:numId w:val="4"/>
              </w:num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Certified true copy of the debenture trust deed</w:t>
            </w:r>
          </w:p>
        </w:tc>
        <w:tc>
          <w:tcPr>
            <w:tcW w:w="3389" w:type="dxa"/>
            <w:tcBorders>
              <w:top w:val="nil"/>
              <w:left w:val="nil"/>
              <w:bottom w:val="single" w:sz="4" w:space="0" w:color="auto"/>
              <w:right w:val="single" w:sz="4" w:space="0" w:color="auto"/>
            </w:tcBorders>
            <w:shd w:val="clear" w:color="auto" w:fill="auto"/>
            <w:hideMark/>
          </w:tcPr>
          <w:p w14:paraId="2833FE78" w14:textId="77777777" w:rsidR="001B1FA1" w:rsidRPr="00C447B5" w:rsidRDefault="001B1FA1" w:rsidP="001B1FA1">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D14F26" w:rsidRPr="00C447B5" w14:paraId="2310A2A5" w14:textId="77777777" w:rsidTr="001600E2">
        <w:trPr>
          <w:trHeight w:val="683"/>
        </w:trPr>
        <w:tc>
          <w:tcPr>
            <w:tcW w:w="1022" w:type="dxa"/>
            <w:tcBorders>
              <w:top w:val="nil"/>
              <w:left w:val="single" w:sz="4" w:space="0" w:color="auto"/>
              <w:bottom w:val="single" w:sz="4" w:space="0" w:color="auto"/>
              <w:right w:val="single" w:sz="4" w:space="0" w:color="auto"/>
            </w:tcBorders>
            <w:shd w:val="clear" w:color="auto" w:fill="auto"/>
          </w:tcPr>
          <w:p w14:paraId="7DE58764" w14:textId="4D3EC1B7" w:rsidR="00D14F26" w:rsidRPr="00C447B5" w:rsidRDefault="00D14F26" w:rsidP="003F3652">
            <w:pPr>
              <w:pStyle w:val="ListParagraph"/>
              <w:numPr>
                <w:ilvl w:val="0"/>
                <w:numId w:val="9"/>
              </w:numPr>
              <w:spacing w:after="0" w:line="240" w:lineRule="auto"/>
              <w:jc w:val="center"/>
              <w:rPr>
                <w:rFonts w:ascii="Times New Roman" w:eastAsia="Times New Roman" w:hAnsi="Times New Roman" w:cs="Times New Roman"/>
              </w:rPr>
            </w:pPr>
          </w:p>
        </w:tc>
        <w:tc>
          <w:tcPr>
            <w:tcW w:w="5685" w:type="dxa"/>
            <w:tcBorders>
              <w:top w:val="single" w:sz="4" w:space="0" w:color="auto"/>
              <w:left w:val="nil"/>
              <w:bottom w:val="single" w:sz="4" w:space="0" w:color="auto"/>
              <w:right w:val="single" w:sz="4" w:space="0" w:color="auto"/>
            </w:tcBorders>
            <w:shd w:val="clear" w:color="auto" w:fill="auto"/>
          </w:tcPr>
          <w:p w14:paraId="6987F9BE" w14:textId="77777777" w:rsidR="00D14F26" w:rsidRPr="00C447B5" w:rsidRDefault="00D14F26" w:rsidP="001B1FA1">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Copies of all advertisement published in connection with the issue</w:t>
            </w:r>
          </w:p>
        </w:tc>
        <w:tc>
          <w:tcPr>
            <w:tcW w:w="3389" w:type="dxa"/>
            <w:tcBorders>
              <w:top w:val="nil"/>
              <w:left w:val="nil"/>
              <w:bottom w:val="single" w:sz="4" w:space="0" w:color="auto"/>
              <w:right w:val="single" w:sz="4" w:space="0" w:color="auto"/>
            </w:tcBorders>
            <w:shd w:val="clear" w:color="auto" w:fill="auto"/>
          </w:tcPr>
          <w:p w14:paraId="2084D5F4" w14:textId="77777777" w:rsidR="00D14F26" w:rsidRPr="00C447B5" w:rsidRDefault="00D14F26" w:rsidP="001B1FA1">
            <w:pPr>
              <w:spacing w:after="0" w:line="240" w:lineRule="auto"/>
              <w:jc w:val="center"/>
              <w:rPr>
                <w:rFonts w:ascii="Times New Roman" w:eastAsia="Times New Roman" w:hAnsi="Times New Roman" w:cs="Times New Roman"/>
              </w:rPr>
            </w:pPr>
          </w:p>
        </w:tc>
      </w:tr>
    </w:tbl>
    <w:p w14:paraId="5A209956" w14:textId="77777777" w:rsidR="00487920" w:rsidRPr="00C447B5" w:rsidRDefault="00487920">
      <w:r w:rsidRPr="00C447B5">
        <w:br w:type="page"/>
      </w:r>
    </w:p>
    <w:tbl>
      <w:tblPr>
        <w:tblW w:w="10096" w:type="dxa"/>
        <w:tblLook w:val="04A0" w:firstRow="1" w:lastRow="0" w:firstColumn="1" w:lastColumn="0" w:noHBand="0" w:noVBand="1"/>
      </w:tblPr>
      <w:tblGrid>
        <w:gridCol w:w="1022"/>
        <w:gridCol w:w="5685"/>
        <w:gridCol w:w="3389"/>
      </w:tblGrid>
      <w:tr w:rsidR="001B1FA1" w:rsidRPr="00C447B5" w14:paraId="2CC04882" w14:textId="77777777" w:rsidTr="00F05F59">
        <w:trPr>
          <w:trHeight w:val="315"/>
        </w:trPr>
        <w:tc>
          <w:tcPr>
            <w:tcW w:w="1022" w:type="dxa"/>
            <w:tcBorders>
              <w:top w:val="nil"/>
              <w:left w:val="nil"/>
              <w:bottom w:val="nil"/>
              <w:right w:val="nil"/>
            </w:tcBorders>
            <w:shd w:val="clear" w:color="auto" w:fill="auto"/>
            <w:hideMark/>
          </w:tcPr>
          <w:p w14:paraId="503C65D6" w14:textId="38A2D70B" w:rsidR="001B1FA1" w:rsidRPr="00C447B5" w:rsidRDefault="001B1FA1" w:rsidP="001B1FA1">
            <w:pPr>
              <w:spacing w:after="0" w:line="240" w:lineRule="auto"/>
              <w:jc w:val="center"/>
              <w:rPr>
                <w:rFonts w:ascii="Times New Roman" w:eastAsia="Times New Roman" w:hAnsi="Times New Roman" w:cs="Times New Roman"/>
              </w:rPr>
            </w:pPr>
          </w:p>
          <w:p w14:paraId="381BB10A" w14:textId="77777777" w:rsidR="004E6DD8" w:rsidRPr="00C447B5" w:rsidRDefault="004E6DD8" w:rsidP="001B1FA1">
            <w:pPr>
              <w:spacing w:after="0" w:line="240" w:lineRule="auto"/>
              <w:jc w:val="center"/>
              <w:rPr>
                <w:rFonts w:ascii="Times New Roman" w:eastAsia="Times New Roman" w:hAnsi="Times New Roman" w:cs="Times New Roman"/>
              </w:rPr>
            </w:pPr>
          </w:p>
          <w:p w14:paraId="19638E7F" w14:textId="77777777" w:rsidR="004E6DD8" w:rsidRPr="00C447B5" w:rsidRDefault="004E6DD8" w:rsidP="001B1FA1">
            <w:pPr>
              <w:spacing w:after="0" w:line="240" w:lineRule="auto"/>
              <w:jc w:val="center"/>
              <w:rPr>
                <w:rFonts w:ascii="Times New Roman" w:eastAsia="Times New Roman" w:hAnsi="Times New Roman" w:cs="Times New Roman"/>
              </w:rPr>
            </w:pPr>
          </w:p>
          <w:p w14:paraId="1B5E6B04" w14:textId="77777777" w:rsidR="004E6DD8" w:rsidRPr="00C447B5" w:rsidRDefault="004E6DD8" w:rsidP="001B1FA1">
            <w:pPr>
              <w:spacing w:after="0" w:line="240" w:lineRule="auto"/>
              <w:jc w:val="center"/>
              <w:rPr>
                <w:rFonts w:ascii="Times New Roman" w:eastAsia="Times New Roman" w:hAnsi="Times New Roman" w:cs="Times New Roman"/>
              </w:rPr>
            </w:pPr>
          </w:p>
          <w:p w14:paraId="103C39DE" w14:textId="77777777" w:rsidR="004E6DD8" w:rsidRPr="00C447B5" w:rsidRDefault="004E6DD8" w:rsidP="001B1FA1">
            <w:pPr>
              <w:spacing w:after="0" w:line="240" w:lineRule="auto"/>
              <w:jc w:val="center"/>
              <w:rPr>
                <w:rFonts w:ascii="Times New Roman" w:eastAsia="Times New Roman" w:hAnsi="Times New Roman" w:cs="Times New Roman"/>
              </w:rPr>
            </w:pPr>
          </w:p>
          <w:p w14:paraId="7184C313" w14:textId="77777777" w:rsidR="004E6DD8" w:rsidRPr="00C447B5" w:rsidRDefault="004E6DD8" w:rsidP="001B1FA1">
            <w:pPr>
              <w:spacing w:after="0" w:line="240" w:lineRule="auto"/>
              <w:jc w:val="center"/>
              <w:rPr>
                <w:rFonts w:ascii="Times New Roman" w:eastAsia="Times New Roman" w:hAnsi="Times New Roman" w:cs="Times New Roman"/>
              </w:rPr>
            </w:pPr>
          </w:p>
        </w:tc>
        <w:tc>
          <w:tcPr>
            <w:tcW w:w="5685" w:type="dxa"/>
            <w:tcBorders>
              <w:top w:val="nil"/>
              <w:left w:val="nil"/>
              <w:bottom w:val="nil"/>
              <w:right w:val="nil"/>
            </w:tcBorders>
            <w:shd w:val="clear" w:color="auto" w:fill="auto"/>
            <w:hideMark/>
          </w:tcPr>
          <w:p w14:paraId="0D3CB068" w14:textId="77777777" w:rsidR="007C27D4" w:rsidRPr="00C447B5" w:rsidRDefault="007C27D4" w:rsidP="001B1FA1">
            <w:pPr>
              <w:spacing w:after="0" w:line="240" w:lineRule="auto"/>
              <w:rPr>
                <w:rFonts w:ascii="Times New Roman" w:eastAsia="Times New Roman" w:hAnsi="Times New Roman" w:cs="Times New Roman"/>
              </w:rPr>
            </w:pPr>
          </w:p>
        </w:tc>
        <w:tc>
          <w:tcPr>
            <w:tcW w:w="3389" w:type="dxa"/>
            <w:tcBorders>
              <w:top w:val="nil"/>
              <w:left w:val="nil"/>
              <w:bottom w:val="nil"/>
              <w:right w:val="nil"/>
            </w:tcBorders>
            <w:shd w:val="clear" w:color="auto" w:fill="auto"/>
            <w:hideMark/>
          </w:tcPr>
          <w:p w14:paraId="6C484D09" w14:textId="77777777" w:rsidR="001B1FA1" w:rsidRPr="00C447B5" w:rsidRDefault="001B1FA1" w:rsidP="001B1FA1">
            <w:pPr>
              <w:spacing w:after="0" w:line="240" w:lineRule="auto"/>
              <w:jc w:val="both"/>
              <w:rPr>
                <w:rFonts w:ascii="Times New Roman" w:eastAsia="Times New Roman" w:hAnsi="Times New Roman" w:cs="Times New Roman"/>
              </w:rPr>
            </w:pPr>
          </w:p>
        </w:tc>
      </w:tr>
    </w:tbl>
    <w:p w14:paraId="67AA6EFA" w14:textId="77777777" w:rsidR="001B1FA1" w:rsidRPr="00C447B5" w:rsidRDefault="001B1FA1" w:rsidP="001B1FA1">
      <w:pPr>
        <w:jc w:val="both"/>
        <w:rPr>
          <w:rFonts w:ascii="Times New Roman" w:hAnsi="Times New Roman" w:cs="Times New Roman"/>
          <w:b/>
        </w:rPr>
      </w:pPr>
      <w:r w:rsidRPr="00C447B5">
        <w:rPr>
          <w:rFonts w:ascii="Times New Roman" w:eastAsia="Times New Roman" w:hAnsi="Times New Roman" w:cs="Times New Roman"/>
          <w:b/>
        </w:rPr>
        <w:t>If NSE is not the Designated Stock Exchange than below mentioned additional document is required to be submitted</w:t>
      </w:r>
      <w:r w:rsidRPr="00C447B5">
        <w:rPr>
          <w:rFonts w:ascii="Times New Roman" w:hAnsi="Times New Roman" w:cs="Times New Roman"/>
          <w:b/>
        </w:rPr>
        <w:t xml:space="preserve"> </w:t>
      </w:r>
    </w:p>
    <w:tbl>
      <w:tblPr>
        <w:tblW w:w="10096" w:type="dxa"/>
        <w:tblLook w:val="04A0" w:firstRow="1" w:lastRow="0" w:firstColumn="1" w:lastColumn="0" w:noHBand="0" w:noVBand="1"/>
      </w:tblPr>
      <w:tblGrid>
        <w:gridCol w:w="1022"/>
        <w:gridCol w:w="5685"/>
        <w:gridCol w:w="3389"/>
      </w:tblGrid>
      <w:tr w:rsidR="001B1FA1" w:rsidRPr="00C447B5" w14:paraId="3F581735" w14:textId="77777777" w:rsidTr="004E6DD8">
        <w:trPr>
          <w:trHeight w:val="315"/>
        </w:trPr>
        <w:tc>
          <w:tcPr>
            <w:tcW w:w="1022" w:type="dxa"/>
            <w:tcBorders>
              <w:top w:val="single" w:sz="4" w:space="0" w:color="auto"/>
              <w:left w:val="single" w:sz="4" w:space="0" w:color="auto"/>
              <w:bottom w:val="single" w:sz="4" w:space="0" w:color="auto"/>
              <w:right w:val="single" w:sz="4" w:space="0" w:color="auto"/>
            </w:tcBorders>
            <w:shd w:val="clear" w:color="auto" w:fill="auto"/>
            <w:hideMark/>
          </w:tcPr>
          <w:p w14:paraId="10705F2A" w14:textId="77777777" w:rsidR="001B1FA1" w:rsidRPr="00C447B5" w:rsidRDefault="001B1FA1" w:rsidP="004E6DD8">
            <w:pPr>
              <w:spacing w:after="0" w:line="240" w:lineRule="auto"/>
              <w:rPr>
                <w:rFonts w:ascii="Times New Roman" w:eastAsia="Times New Roman" w:hAnsi="Times New Roman" w:cs="Times New Roman"/>
                <w:b/>
                <w:bCs/>
              </w:rPr>
            </w:pPr>
            <w:r w:rsidRPr="00C447B5">
              <w:rPr>
                <w:rFonts w:ascii="Times New Roman" w:eastAsia="Times New Roman" w:hAnsi="Times New Roman" w:cs="Times New Roman"/>
                <w:b/>
                <w:bCs/>
              </w:rPr>
              <w:t>Sr. No.</w:t>
            </w:r>
          </w:p>
        </w:tc>
        <w:tc>
          <w:tcPr>
            <w:tcW w:w="5685" w:type="dxa"/>
            <w:tcBorders>
              <w:top w:val="single" w:sz="4" w:space="0" w:color="auto"/>
              <w:left w:val="nil"/>
              <w:bottom w:val="single" w:sz="4" w:space="0" w:color="auto"/>
              <w:right w:val="single" w:sz="4" w:space="0" w:color="auto"/>
            </w:tcBorders>
            <w:shd w:val="clear" w:color="auto" w:fill="auto"/>
            <w:hideMark/>
          </w:tcPr>
          <w:p w14:paraId="41FF88C7" w14:textId="77777777" w:rsidR="001B1FA1" w:rsidRPr="00C447B5" w:rsidRDefault="001B1FA1" w:rsidP="004E6DD8">
            <w:pPr>
              <w:spacing w:after="0" w:line="240" w:lineRule="auto"/>
              <w:jc w:val="center"/>
              <w:rPr>
                <w:rFonts w:ascii="Times New Roman" w:eastAsia="Times New Roman" w:hAnsi="Times New Roman" w:cs="Times New Roman"/>
                <w:b/>
                <w:bCs/>
              </w:rPr>
            </w:pPr>
            <w:r w:rsidRPr="00C447B5">
              <w:rPr>
                <w:rFonts w:ascii="Times New Roman" w:eastAsia="Times New Roman" w:hAnsi="Times New Roman" w:cs="Times New Roman"/>
                <w:b/>
                <w:bCs/>
              </w:rPr>
              <w:t>Documents to be submitted</w:t>
            </w:r>
          </w:p>
        </w:tc>
        <w:tc>
          <w:tcPr>
            <w:tcW w:w="3389" w:type="dxa"/>
            <w:tcBorders>
              <w:top w:val="single" w:sz="4" w:space="0" w:color="auto"/>
              <w:left w:val="nil"/>
              <w:bottom w:val="single" w:sz="4" w:space="0" w:color="auto"/>
              <w:right w:val="single" w:sz="4" w:space="0" w:color="auto"/>
            </w:tcBorders>
            <w:shd w:val="clear" w:color="auto" w:fill="auto"/>
            <w:hideMark/>
          </w:tcPr>
          <w:p w14:paraId="032F0ED1" w14:textId="77777777" w:rsidR="001B1FA1" w:rsidRPr="00C447B5" w:rsidRDefault="001B1FA1" w:rsidP="004E6DD8">
            <w:pPr>
              <w:spacing w:after="0" w:line="240" w:lineRule="auto"/>
              <w:jc w:val="center"/>
              <w:rPr>
                <w:rFonts w:ascii="Times New Roman" w:eastAsia="Times New Roman" w:hAnsi="Times New Roman" w:cs="Times New Roman"/>
                <w:b/>
                <w:bCs/>
              </w:rPr>
            </w:pPr>
            <w:r w:rsidRPr="00C447B5">
              <w:rPr>
                <w:rFonts w:ascii="Times New Roman" w:eastAsia="Times New Roman" w:hAnsi="Times New Roman" w:cs="Times New Roman"/>
                <w:b/>
                <w:bCs/>
              </w:rPr>
              <w:t>Yes/No/Not Applicable</w:t>
            </w:r>
          </w:p>
        </w:tc>
      </w:tr>
      <w:tr w:rsidR="00D14F26" w:rsidRPr="00C447B5" w14:paraId="5DEAFEA2" w14:textId="77777777" w:rsidTr="004E6DD8">
        <w:trPr>
          <w:trHeight w:val="315"/>
        </w:trPr>
        <w:tc>
          <w:tcPr>
            <w:tcW w:w="1022" w:type="dxa"/>
            <w:tcBorders>
              <w:top w:val="nil"/>
              <w:left w:val="single" w:sz="4" w:space="0" w:color="auto"/>
              <w:bottom w:val="single" w:sz="4" w:space="0" w:color="auto"/>
              <w:right w:val="single" w:sz="4" w:space="0" w:color="auto"/>
            </w:tcBorders>
            <w:shd w:val="clear" w:color="auto" w:fill="auto"/>
            <w:hideMark/>
          </w:tcPr>
          <w:p w14:paraId="317F1756" w14:textId="7B9A5FA5" w:rsidR="00D14F26" w:rsidRPr="00C447B5" w:rsidRDefault="00456E9A" w:rsidP="00D14F26">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12.</w:t>
            </w:r>
          </w:p>
        </w:tc>
        <w:tc>
          <w:tcPr>
            <w:tcW w:w="5685" w:type="dxa"/>
            <w:tcBorders>
              <w:top w:val="nil"/>
              <w:left w:val="nil"/>
              <w:bottom w:val="single" w:sz="4" w:space="0" w:color="auto"/>
              <w:right w:val="nil"/>
            </w:tcBorders>
            <w:shd w:val="clear" w:color="auto" w:fill="auto"/>
            <w:hideMark/>
          </w:tcPr>
          <w:p w14:paraId="73AF08DE" w14:textId="77777777" w:rsidR="00D14F26" w:rsidRPr="00C447B5" w:rsidRDefault="00D14F26" w:rsidP="00D14F26">
            <w:pPr>
              <w:spacing w:after="0" w:line="240" w:lineRule="auto"/>
              <w:rPr>
                <w:rFonts w:ascii="Times New Roman" w:eastAsia="Times New Roman" w:hAnsi="Times New Roman" w:cs="Times New Roman"/>
              </w:rPr>
            </w:pPr>
            <w:r w:rsidRPr="00C447B5">
              <w:rPr>
                <w:rFonts w:ascii="Times New Roman" w:eastAsia="Times New Roman" w:hAnsi="Times New Roman" w:cs="Times New Roman"/>
              </w:rPr>
              <w:t>3 Day Monitoring Report</w:t>
            </w:r>
          </w:p>
        </w:tc>
        <w:tc>
          <w:tcPr>
            <w:tcW w:w="3389" w:type="dxa"/>
            <w:tcBorders>
              <w:top w:val="nil"/>
              <w:left w:val="nil"/>
              <w:bottom w:val="single" w:sz="4" w:space="0" w:color="auto"/>
              <w:right w:val="single" w:sz="4" w:space="0" w:color="auto"/>
            </w:tcBorders>
            <w:shd w:val="clear" w:color="auto" w:fill="auto"/>
            <w:hideMark/>
          </w:tcPr>
          <w:p w14:paraId="1CF4298E" w14:textId="77777777" w:rsidR="00D14F26" w:rsidRPr="00C447B5" w:rsidRDefault="00D14F26" w:rsidP="00D14F26">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D14F26" w:rsidRPr="00C447B5" w14:paraId="6792EA4F" w14:textId="77777777" w:rsidTr="008601C9">
        <w:trPr>
          <w:trHeight w:val="630"/>
        </w:trPr>
        <w:tc>
          <w:tcPr>
            <w:tcW w:w="1022" w:type="dxa"/>
            <w:tcBorders>
              <w:top w:val="nil"/>
              <w:left w:val="single" w:sz="4" w:space="0" w:color="auto"/>
              <w:bottom w:val="single" w:sz="4" w:space="0" w:color="auto"/>
              <w:right w:val="single" w:sz="4" w:space="0" w:color="auto"/>
            </w:tcBorders>
            <w:shd w:val="clear" w:color="auto" w:fill="auto"/>
          </w:tcPr>
          <w:p w14:paraId="1B3762B9" w14:textId="6C5438CC" w:rsidR="00D14F26" w:rsidRPr="00C447B5" w:rsidRDefault="002078BA" w:rsidP="00D14F26">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1</w:t>
            </w:r>
            <w:r w:rsidR="00456E9A" w:rsidRPr="00C447B5">
              <w:rPr>
                <w:rFonts w:ascii="Times New Roman" w:eastAsia="Times New Roman" w:hAnsi="Times New Roman" w:cs="Times New Roman"/>
              </w:rPr>
              <w:t>3.</w:t>
            </w:r>
          </w:p>
        </w:tc>
        <w:tc>
          <w:tcPr>
            <w:tcW w:w="5685" w:type="dxa"/>
            <w:tcBorders>
              <w:top w:val="nil"/>
              <w:left w:val="nil"/>
              <w:bottom w:val="single" w:sz="4" w:space="0" w:color="auto"/>
              <w:right w:val="single" w:sz="4" w:space="0" w:color="auto"/>
            </w:tcBorders>
            <w:shd w:val="clear" w:color="auto" w:fill="auto"/>
            <w:hideMark/>
          </w:tcPr>
          <w:p w14:paraId="36D30CD4" w14:textId="77777777" w:rsidR="00D14F26" w:rsidRPr="00C447B5" w:rsidRDefault="00D14F26" w:rsidP="00D14F26">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Certified true copy of the basis of allotment approved by the Designated Stock Exchange.</w:t>
            </w:r>
          </w:p>
        </w:tc>
        <w:tc>
          <w:tcPr>
            <w:tcW w:w="3389" w:type="dxa"/>
            <w:tcBorders>
              <w:top w:val="nil"/>
              <w:left w:val="nil"/>
              <w:bottom w:val="single" w:sz="4" w:space="0" w:color="auto"/>
              <w:right w:val="single" w:sz="4" w:space="0" w:color="auto"/>
            </w:tcBorders>
            <w:shd w:val="clear" w:color="auto" w:fill="auto"/>
            <w:hideMark/>
          </w:tcPr>
          <w:p w14:paraId="599FEEA4" w14:textId="77777777" w:rsidR="00D14F26" w:rsidRPr="00C447B5" w:rsidRDefault="00D14F26" w:rsidP="00D14F26">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r w:rsidR="001B1FA1" w:rsidRPr="00C447B5" w14:paraId="556D6C00" w14:textId="77777777" w:rsidTr="008601C9">
        <w:trPr>
          <w:trHeight w:val="630"/>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0A33C5A6" w14:textId="7613CDB0" w:rsidR="001B1FA1" w:rsidRPr="00C447B5" w:rsidRDefault="002078BA" w:rsidP="004E6DD8">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1</w:t>
            </w:r>
            <w:r w:rsidR="00456E9A" w:rsidRPr="00C447B5">
              <w:rPr>
                <w:rFonts w:ascii="Times New Roman" w:eastAsia="Times New Roman" w:hAnsi="Times New Roman" w:cs="Times New Roman"/>
              </w:rPr>
              <w:t>4.</w:t>
            </w:r>
          </w:p>
        </w:tc>
        <w:tc>
          <w:tcPr>
            <w:tcW w:w="5685" w:type="dxa"/>
            <w:tcBorders>
              <w:top w:val="single" w:sz="4" w:space="0" w:color="auto"/>
              <w:left w:val="nil"/>
              <w:bottom w:val="single" w:sz="4" w:space="0" w:color="auto"/>
              <w:right w:val="single" w:sz="4" w:space="0" w:color="auto"/>
            </w:tcBorders>
            <w:shd w:val="clear" w:color="auto" w:fill="auto"/>
            <w:hideMark/>
          </w:tcPr>
          <w:p w14:paraId="7F3228D3" w14:textId="77777777" w:rsidR="001B1FA1" w:rsidRPr="00C447B5" w:rsidRDefault="001B1FA1" w:rsidP="004E6DD8">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Copy of Internal Minutes executed in between Lead Manager, Issuer and Registrar.</w:t>
            </w:r>
          </w:p>
        </w:tc>
        <w:tc>
          <w:tcPr>
            <w:tcW w:w="3389" w:type="dxa"/>
            <w:tcBorders>
              <w:top w:val="single" w:sz="4" w:space="0" w:color="auto"/>
              <w:left w:val="nil"/>
              <w:bottom w:val="single" w:sz="4" w:space="0" w:color="auto"/>
              <w:right w:val="single" w:sz="4" w:space="0" w:color="auto"/>
            </w:tcBorders>
            <w:shd w:val="clear" w:color="auto" w:fill="auto"/>
            <w:hideMark/>
          </w:tcPr>
          <w:p w14:paraId="42551758" w14:textId="77777777" w:rsidR="001B1FA1" w:rsidRPr="00C447B5" w:rsidRDefault="001B1FA1" w:rsidP="004E6DD8">
            <w:pPr>
              <w:spacing w:after="0" w:line="240" w:lineRule="auto"/>
              <w:jc w:val="center"/>
              <w:rPr>
                <w:rFonts w:ascii="Times New Roman" w:eastAsia="Times New Roman" w:hAnsi="Times New Roman" w:cs="Times New Roman"/>
              </w:rPr>
            </w:pPr>
            <w:r w:rsidRPr="00C447B5">
              <w:rPr>
                <w:rFonts w:ascii="Times New Roman" w:eastAsia="Times New Roman" w:hAnsi="Times New Roman" w:cs="Times New Roman"/>
              </w:rPr>
              <w:t> </w:t>
            </w:r>
          </w:p>
        </w:tc>
      </w:tr>
    </w:tbl>
    <w:p w14:paraId="61D51E74" w14:textId="77777777" w:rsidR="004E6DD8" w:rsidRPr="00C447B5" w:rsidRDefault="004E6DD8" w:rsidP="001B1FA1">
      <w:pPr>
        <w:jc w:val="both"/>
        <w:rPr>
          <w:rFonts w:ascii="Times New Roman" w:hAnsi="Times New Roman" w:cs="Times New Roman"/>
          <w:b/>
        </w:rPr>
      </w:pPr>
    </w:p>
    <w:tbl>
      <w:tblPr>
        <w:tblW w:w="10096" w:type="dxa"/>
        <w:tblLook w:val="04A0" w:firstRow="1" w:lastRow="0" w:firstColumn="1" w:lastColumn="0" w:noHBand="0" w:noVBand="1"/>
      </w:tblPr>
      <w:tblGrid>
        <w:gridCol w:w="1022"/>
        <w:gridCol w:w="5685"/>
        <w:gridCol w:w="3389"/>
      </w:tblGrid>
      <w:tr w:rsidR="004E6DD8" w:rsidRPr="00C447B5" w14:paraId="03B563BD" w14:textId="77777777" w:rsidTr="004E6DD8">
        <w:trPr>
          <w:trHeight w:val="315"/>
        </w:trPr>
        <w:tc>
          <w:tcPr>
            <w:tcW w:w="1022" w:type="dxa"/>
            <w:tcBorders>
              <w:top w:val="nil"/>
              <w:left w:val="nil"/>
              <w:bottom w:val="nil"/>
              <w:right w:val="nil"/>
            </w:tcBorders>
            <w:shd w:val="clear" w:color="auto" w:fill="auto"/>
            <w:hideMark/>
          </w:tcPr>
          <w:p w14:paraId="47FE3BE8" w14:textId="77777777" w:rsidR="004E6DD8" w:rsidRPr="00C447B5" w:rsidRDefault="004E6DD8" w:rsidP="004E6DD8">
            <w:pPr>
              <w:spacing w:after="0" w:line="240" w:lineRule="auto"/>
              <w:jc w:val="both"/>
              <w:rPr>
                <w:rFonts w:ascii="Times New Roman" w:eastAsia="Times New Roman" w:hAnsi="Times New Roman" w:cs="Times New Roman"/>
              </w:rPr>
            </w:pPr>
          </w:p>
        </w:tc>
        <w:tc>
          <w:tcPr>
            <w:tcW w:w="5685" w:type="dxa"/>
            <w:tcBorders>
              <w:top w:val="nil"/>
              <w:left w:val="nil"/>
              <w:bottom w:val="nil"/>
              <w:right w:val="nil"/>
            </w:tcBorders>
            <w:shd w:val="clear" w:color="auto" w:fill="auto"/>
            <w:hideMark/>
          </w:tcPr>
          <w:p w14:paraId="7F4CFF1B" w14:textId="77777777" w:rsidR="004E6DD8" w:rsidRPr="00C447B5" w:rsidRDefault="004E6DD8" w:rsidP="004E6DD8">
            <w:pPr>
              <w:spacing w:after="0" w:line="240" w:lineRule="auto"/>
              <w:jc w:val="right"/>
              <w:rPr>
                <w:rFonts w:ascii="Times New Roman" w:eastAsia="Times New Roman" w:hAnsi="Times New Roman" w:cs="Times New Roman"/>
              </w:rPr>
            </w:pPr>
            <w:r w:rsidRPr="00C447B5">
              <w:rPr>
                <w:rFonts w:ascii="Times New Roman" w:eastAsia="Times New Roman" w:hAnsi="Times New Roman" w:cs="Times New Roman"/>
              </w:rPr>
              <w:t>Date</w:t>
            </w:r>
          </w:p>
        </w:tc>
        <w:tc>
          <w:tcPr>
            <w:tcW w:w="3389" w:type="dxa"/>
            <w:tcBorders>
              <w:top w:val="single" w:sz="4" w:space="0" w:color="auto"/>
              <w:left w:val="single" w:sz="4" w:space="0" w:color="auto"/>
              <w:bottom w:val="single" w:sz="4" w:space="0" w:color="auto"/>
              <w:right w:val="single" w:sz="4" w:space="0" w:color="auto"/>
            </w:tcBorders>
            <w:shd w:val="clear" w:color="auto" w:fill="auto"/>
            <w:hideMark/>
          </w:tcPr>
          <w:p w14:paraId="47E3A81E" w14:textId="77777777" w:rsidR="004E6DD8" w:rsidRPr="00C447B5" w:rsidRDefault="004E6DD8" w:rsidP="004E6DD8">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 </w:t>
            </w:r>
          </w:p>
        </w:tc>
      </w:tr>
      <w:tr w:rsidR="004E6DD8" w:rsidRPr="00C447B5" w14:paraId="5895FAC2" w14:textId="77777777" w:rsidTr="004E6DD8">
        <w:trPr>
          <w:trHeight w:val="315"/>
        </w:trPr>
        <w:tc>
          <w:tcPr>
            <w:tcW w:w="1022" w:type="dxa"/>
            <w:tcBorders>
              <w:top w:val="nil"/>
              <w:left w:val="nil"/>
              <w:bottom w:val="nil"/>
              <w:right w:val="nil"/>
            </w:tcBorders>
            <w:shd w:val="clear" w:color="auto" w:fill="auto"/>
            <w:hideMark/>
          </w:tcPr>
          <w:p w14:paraId="60BFFF28" w14:textId="77777777" w:rsidR="004E6DD8" w:rsidRPr="00C447B5" w:rsidRDefault="004E6DD8" w:rsidP="004E6DD8">
            <w:pPr>
              <w:spacing w:after="0" w:line="240" w:lineRule="auto"/>
              <w:jc w:val="both"/>
              <w:rPr>
                <w:rFonts w:ascii="Times New Roman" w:eastAsia="Times New Roman" w:hAnsi="Times New Roman" w:cs="Times New Roman"/>
              </w:rPr>
            </w:pPr>
          </w:p>
        </w:tc>
        <w:tc>
          <w:tcPr>
            <w:tcW w:w="5685" w:type="dxa"/>
            <w:tcBorders>
              <w:top w:val="nil"/>
              <w:left w:val="nil"/>
              <w:bottom w:val="nil"/>
              <w:right w:val="nil"/>
            </w:tcBorders>
            <w:shd w:val="clear" w:color="auto" w:fill="auto"/>
            <w:hideMark/>
          </w:tcPr>
          <w:p w14:paraId="40AC95E5" w14:textId="77777777" w:rsidR="004E6DD8" w:rsidRPr="00C447B5" w:rsidRDefault="004E6DD8" w:rsidP="004E6DD8">
            <w:pPr>
              <w:spacing w:after="0" w:line="240" w:lineRule="auto"/>
              <w:jc w:val="right"/>
              <w:rPr>
                <w:rFonts w:ascii="Times New Roman" w:eastAsia="Times New Roman" w:hAnsi="Times New Roman" w:cs="Times New Roman"/>
              </w:rPr>
            </w:pPr>
            <w:r w:rsidRPr="00C447B5">
              <w:rPr>
                <w:rFonts w:ascii="Times New Roman" w:eastAsia="Times New Roman" w:hAnsi="Times New Roman" w:cs="Times New Roman"/>
              </w:rPr>
              <w:t>Place</w:t>
            </w:r>
          </w:p>
        </w:tc>
        <w:tc>
          <w:tcPr>
            <w:tcW w:w="3389" w:type="dxa"/>
            <w:tcBorders>
              <w:top w:val="nil"/>
              <w:left w:val="single" w:sz="4" w:space="0" w:color="auto"/>
              <w:bottom w:val="single" w:sz="4" w:space="0" w:color="auto"/>
              <w:right w:val="single" w:sz="4" w:space="0" w:color="auto"/>
            </w:tcBorders>
            <w:shd w:val="clear" w:color="auto" w:fill="auto"/>
            <w:hideMark/>
          </w:tcPr>
          <w:p w14:paraId="37FF4F67" w14:textId="77777777" w:rsidR="004E6DD8" w:rsidRPr="00C447B5" w:rsidRDefault="004E6DD8" w:rsidP="004E6DD8">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 </w:t>
            </w:r>
          </w:p>
        </w:tc>
      </w:tr>
      <w:tr w:rsidR="004E6DD8" w:rsidRPr="00C447B5" w14:paraId="1FF4FB34" w14:textId="77777777" w:rsidTr="004E6DD8">
        <w:trPr>
          <w:trHeight w:val="630"/>
        </w:trPr>
        <w:tc>
          <w:tcPr>
            <w:tcW w:w="1022" w:type="dxa"/>
            <w:tcBorders>
              <w:top w:val="nil"/>
              <w:left w:val="nil"/>
              <w:bottom w:val="nil"/>
              <w:right w:val="nil"/>
            </w:tcBorders>
            <w:shd w:val="clear" w:color="auto" w:fill="auto"/>
            <w:hideMark/>
          </w:tcPr>
          <w:p w14:paraId="0CC1C43D" w14:textId="77777777" w:rsidR="004E6DD8" w:rsidRPr="00C447B5" w:rsidRDefault="004E6DD8" w:rsidP="004E6DD8">
            <w:pPr>
              <w:spacing w:after="0" w:line="240" w:lineRule="auto"/>
              <w:jc w:val="both"/>
              <w:rPr>
                <w:rFonts w:ascii="Times New Roman" w:eastAsia="Times New Roman" w:hAnsi="Times New Roman" w:cs="Times New Roman"/>
              </w:rPr>
            </w:pPr>
          </w:p>
        </w:tc>
        <w:tc>
          <w:tcPr>
            <w:tcW w:w="5685" w:type="dxa"/>
            <w:vMerge w:val="restart"/>
            <w:tcBorders>
              <w:top w:val="nil"/>
              <w:left w:val="nil"/>
              <w:bottom w:val="nil"/>
              <w:right w:val="single" w:sz="4" w:space="0" w:color="auto"/>
            </w:tcBorders>
            <w:shd w:val="clear" w:color="auto" w:fill="auto"/>
            <w:vAlign w:val="center"/>
            <w:hideMark/>
          </w:tcPr>
          <w:p w14:paraId="009210E3" w14:textId="77777777" w:rsidR="004E6DD8" w:rsidRPr="00C447B5" w:rsidRDefault="004E6DD8" w:rsidP="004E6DD8">
            <w:pPr>
              <w:spacing w:after="0" w:line="240" w:lineRule="auto"/>
              <w:jc w:val="right"/>
              <w:rPr>
                <w:rFonts w:ascii="Times New Roman" w:eastAsia="Times New Roman" w:hAnsi="Times New Roman" w:cs="Times New Roman"/>
              </w:rPr>
            </w:pPr>
            <w:r w:rsidRPr="00C447B5">
              <w:rPr>
                <w:rFonts w:ascii="Times New Roman" w:eastAsia="Times New Roman" w:hAnsi="Times New Roman" w:cs="Times New Roman"/>
              </w:rPr>
              <w:t>Authorised Signatory and                                                                                              Stamp of the company</w:t>
            </w:r>
          </w:p>
        </w:tc>
        <w:tc>
          <w:tcPr>
            <w:tcW w:w="3389" w:type="dxa"/>
            <w:vMerge w:val="restart"/>
            <w:tcBorders>
              <w:top w:val="nil"/>
              <w:left w:val="single" w:sz="4" w:space="0" w:color="auto"/>
              <w:bottom w:val="single" w:sz="4" w:space="0" w:color="000000"/>
              <w:right w:val="single" w:sz="4" w:space="0" w:color="auto"/>
            </w:tcBorders>
            <w:shd w:val="clear" w:color="auto" w:fill="auto"/>
            <w:hideMark/>
          </w:tcPr>
          <w:p w14:paraId="7E9E74D5" w14:textId="77777777" w:rsidR="004E6DD8" w:rsidRPr="00C447B5" w:rsidRDefault="004E6DD8" w:rsidP="004E6DD8">
            <w:pPr>
              <w:spacing w:after="0" w:line="240" w:lineRule="auto"/>
              <w:rPr>
                <w:rFonts w:ascii="Times New Roman" w:eastAsia="Times New Roman" w:hAnsi="Times New Roman" w:cs="Times New Roman"/>
              </w:rPr>
            </w:pPr>
            <w:r w:rsidRPr="00C447B5">
              <w:rPr>
                <w:rFonts w:ascii="Times New Roman" w:eastAsia="Times New Roman" w:hAnsi="Times New Roman" w:cs="Times New Roman"/>
              </w:rPr>
              <w:t> </w:t>
            </w:r>
          </w:p>
        </w:tc>
      </w:tr>
      <w:tr w:rsidR="004E6DD8" w:rsidRPr="00C447B5" w14:paraId="7A1AB567" w14:textId="77777777" w:rsidTr="004E6DD8">
        <w:trPr>
          <w:trHeight w:val="315"/>
        </w:trPr>
        <w:tc>
          <w:tcPr>
            <w:tcW w:w="1022" w:type="dxa"/>
            <w:tcBorders>
              <w:top w:val="nil"/>
              <w:left w:val="nil"/>
              <w:bottom w:val="nil"/>
              <w:right w:val="nil"/>
            </w:tcBorders>
            <w:shd w:val="clear" w:color="auto" w:fill="auto"/>
            <w:hideMark/>
          </w:tcPr>
          <w:p w14:paraId="1455C798" w14:textId="77777777" w:rsidR="004E6DD8" w:rsidRPr="00C447B5" w:rsidRDefault="004E6DD8" w:rsidP="004E6DD8">
            <w:pPr>
              <w:spacing w:after="0" w:line="240" w:lineRule="auto"/>
              <w:rPr>
                <w:rFonts w:ascii="Times New Roman" w:eastAsia="Times New Roman" w:hAnsi="Times New Roman" w:cs="Times New Roman"/>
              </w:rPr>
            </w:pPr>
          </w:p>
        </w:tc>
        <w:tc>
          <w:tcPr>
            <w:tcW w:w="5685" w:type="dxa"/>
            <w:vMerge/>
            <w:tcBorders>
              <w:top w:val="nil"/>
              <w:left w:val="nil"/>
              <w:bottom w:val="nil"/>
              <w:right w:val="single" w:sz="4" w:space="0" w:color="auto"/>
            </w:tcBorders>
            <w:vAlign w:val="center"/>
            <w:hideMark/>
          </w:tcPr>
          <w:p w14:paraId="39D6D38F" w14:textId="77777777" w:rsidR="004E6DD8" w:rsidRPr="00C447B5" w:rsidRDefault="004E6DD8" w:rsidP="004E6DD8">
            <w:pPr>
              <w:spacing w:after="0" w:line="240" w:lineRule="auto"/>
              <w:rPr>
                <w:rFonts w:ascii="Times New Roman" w:eastAsia="Times New Roman" w:hAnsi="Times New Roman" w:cs="Times New Roman"/>
              </w:rPr>
            </w:pPr>
          </w:p>
        </w:tc>
        <w:tc>
          <w:tcPr>
            <w:tcW w:w="3389" w:type="dxa"/>
            <w:vMerge/>
            <w:tcBorders>
              <w:top w:val="nil"/>
              <w:left w:val="single" w:sz="4" w:space="0" w:color="auto"/>
              <w:bottom w:val="single" w:sz="4" w:space="0" w:color="000000"/>
              <w:right w:val="single" w:sz="4" w:space="0" w:color="auto"/>
            </w:tcBorders>
            <w:vAlign w:val="center"/>
            <w:hideMark/>
          </w:tcPr>
          <w:p w14:paraId="017ED76A" w14:textId="77777777" w:rsidR="004E6DD8" w:rsidRPr="00C447B5" w:rsidRDefault="004E6DD8" w:rsidP="004E6DD8">
            <w:pPr>
              <w:spacing w:after="0" w:line="240" w:lineRule="auto"/>
              <w:rPr>
                <w:rFonts w:ascii="Times New Roman" w:eastAsia="Times New Roman" w:hAnsi="Times New Roman" w:cs="Times New Roman"/>
              </w:rPr>
            </w:pPr>
          </w:p>
        </w:tc>
      </w:tr>
      <w:tr w:rsidR="004E6DD8" w:rsidRPr="00C447B5" w14:paraId="168AD021" w14:textId="77777777" w:rsidTr="004E6DD8">
        <w:trPr>
          <w:trHeight w:val="315"/>
        </w:trPr>
        <w:tc>
          <w:tcPr>
            <w:tcW w:w="1022" w:type="dxa"/>
            <w:tcBorders>
              <w:top w:val="nil"/>
              <w:left w:val="nil"/>
              <w:bottom w:val="nil"/>
              <w:right w:val="nil"/>
            </w:tcBorders>
            <w:shd w:val="clear" w:color="auto" w:fill="auto"/>
            <w:hideMark/>
          </w:tcPr>
          <w:p w14:paraId="6DAE1D96" w14:textId="77777777" w:rsidR="004E6DD8" w:rsidRPr="00C447B5" w:rsidRDefault="004E6DD8" w:rsidP="004E6DD8">
            <w:pPr>
              <w:spacing w:after="0" w:line="240" w:lineRule="auto"/>
              <w:rPr>
                <w:rFonts w:ascii="Times New Roman" w:eastAsia="Times New Roman" w:hAnsi="Times New Roman" w:cs="Times New Roman"/>
              </w:rPr>
            </w:pPr>
          </w:p>
        </w:tc>
        <w:tc>
          <w:tcPr>
            <w:tcW w:w="5685" w:type="dxa"/>
            <w:tcBorders>
              <w:top w:val="nil"/>
              <w:left w:val="nil"/>
              <w:bottom w:val="nil"/>
              <w:right w:val="nil"/>
            </w:tcBorders>
            <w:shd w:val="clear" w:color="auto" w:fill="auto"/>
            <w:hideMark/>
          </w:tcPr>
          <w:p w14:paraId="4BB201E5" w14:textId="77777777" w:rsidR="004E6DD8" w:rsidRPr="00C447B5" w:rsidRDefault="004E6DD8" w:rsidP="004E6DD8">
            <w:pPr>
              <w:spacing w:after="0" w:line="240" w:lineRule="auto"/>
              <w:jc w:val="right"/>
              <w:rPr>
                <w:rFonts w:ascii="Times New Roman" w:eastAsia="Times New Roman" w:hAnsi="Times New Roman" w:cs="Times New Roman"/>
              </w:rPr>
            </w:pPr>
            <w:r w:rsidRPr="00C447B5">
              <w:rPr>
                <w:rFonts w:ascii="Times New Roman" w:eastAsia="Times New Roman" w:hAnsi="Times New Roman" w:cs="Times New Roman"/>
              </w:rPr>
              <w:t>Name</w:t>
            </w:r>
          </w:p>
        </w:tc>
        <w:tc>
          <w:tcPr>
            <w:tcW w:w="3389" w:type="dxa"/>
            <w:tcBorders>
              <w:top w:val="nil"/>
              <w:left w:val="single" w:sz="4" w:space="0" w:color="auto"/>
              <w:bottom w:val="single" w:sz="4" w:space="0" w:color="auto"/>
              <w:right w:val="single" w:sz="4" w:space="0" w:color="auto"/>
            </w:tcBorders>
            <w:shd w:val="clear" w:color="auto" w:fill="auto"/>
            <w:hideMark/>
          </w:tcPr>
          <w:p w14:paraId="06FF9885" w14:textId="77777777" w:rsidR="004E6DD8" w:rsidRPr="00C447B5" w:rsidRDefault="004E6DD8" w:rsidP="004E6DD8">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 </w:t>
            </w:r>
          </w:p>
        </w:tc>
      </w:tr>
      <w:tr w:rsidR="004E6DD8" w:rsidRPr="00C447B5" w14:paraId="352443E7" w14:textId="77777777" w:rsidTr="004E6DD8">
        <w:trPr>
          <w:trHeight w:val="315"/>
        </w:trPr>
        <w:tc>
          <w:tcPr>
            <w:tcW w:w="1022" w:type="dxa"/>
            <w:tcBorders>
              <w:top w:val="nil"/>
              <w:left w:val="nil"/>
              <w:bottom w:val="nil"/>
              <w:right w:val="nil"/>
            </w:tcBorders>
            <w:shd w:val="clear" w:color="auto" w:fill="auto"/>
            <w:hideMark/>
          </w:tcPr>
          <w:p w14:paraId="665F4319" w14:textId="77777777" w:rsidR="004E6DD8" w:rsidRPr="00C447B5" w:rsidRDefault="004E6DD8" w:rsidP="004E6DD8">
            <w:pPr>
              <w:spacing w:after="0" w:line="240" w:lineRule="auto"/>
              <w:jc w:val="both"/>
              <w:rPr>
                <w:rFonts w:ascii="Times New Roman" w:eastAsia="Times New Roman" w:hAnsi="Times New Roman" w:cs="Times New Roman"/>
              </w:rPr>
            </w:pPr>
          </w:p>
        </w:tc>
        <w:tc>
          <w:tcPr>
            <w:tcW w:w="5685" w:type="dxa"/>
            <w:tcBorders>
              <w:top w:val="nil"/>
              <w:left w:val="nil"/>
              <w:bottom w:val="nil"/>
              <w:right w:val="nil"/>
            </w:tcBorders>
            <w:shd w:val="clear" w:color="auto" w:fill="auto"/>
            <w:hideMark/>
          </w:tcPr>
          <w:p w14:paraId="6F9E105D" w14:textId="77777777" w:rsidR="004E6DD8" w:rsidRPr="00C447B5" w:rsidRDefault="004E6DD8" w:rsidP="004E6DD8">
            <w:pPr>
              <w:spacing w:after="0" w:line="240" w:lineRule="auto"/>
              <w:jc w:val="right"/>
              <w:rPr>
                <w:rFonts w:ascii="Times New Roman" w:eastAsia="Times New Roman" w:hAnsi="Times New Roman" w:cs="Times New Roman"/>
              </w:rPr>
            </w:pPr>
            <w:r w:rsidRPr="00C447B5">
              <w:rPr>
                <w:rFonts w:ascii="Times New Roman" w:eastAsia="Times New Roman" w:hAnsi="Times New Roman" w:cs="Times New Roman"/>
              </w:rPr>
              <w:t>Designation</w:t>
            </w:r>
          </w:p>
        </w:tc>
        <w:tc>
          <w:tcPr>
            <w:tcW w:w="3389" w:type="dxa"/>
            <w:tcBorders>
              <w:top w:val="nil"/>
              <w:left w:val="single" w:sz="4" w:space="0" w:color="auto"/>
              <w:bottom w:val="single" w:sz="4" w:space="0" w:color="auto"/>
              <w:right w:val="single" w:sz="4" w:space="0" w:color="auto"/>
            </w:tcBorders>
            <w:shd w:val="clear" w:color="auto" w:fill="auto"/>
            <w:hideMark/>
          </w:tcPr>
          <w:p w14:paraId="1DE6AA69" w14:textId="77777777" w:rsidR="004E6DD8" w:rsidRPr="00C447B5" w:rsidRDefault="004E6DD8" w:rsidP="004E6DD8">
            <w:pPr>
              <w:spacing w:after="0" w:line="240" w:lineRule="auto"/>
              <w:jc w:val="both"/>
              <w:rPr>
                <w:rFonts w:ascii="Times New Roman" w:eastAsia="Times New Roman" w:hAnsi="Times New Roman" w:cs="Times New Roman"/>
              </w:rPr>
            </w:pPr>
            <w:r w:rsidRPr="00C447B5">
              <w:rPr>
                <w:rFonts w:ascii="Times New Roman" w:eastAsia="Times New Roman" w:hAnsi="Times New Roman" w:cs="Times New Roman"/>
              </w:rPr>
              <w:t> </w:t>
            </w:r>
          </w:p>
        </w:tc>
      </w:tr>
    </w:tbl>
    <w:p w14:paraId="4B4DD2E1" w14:textId="77777777" w:rsidR="001602B3" w:rsidRPr="00C447B5" w:rsidRDefault="001602B3" w:rsidP="001B1FA1">
      <w:pPr>
        <w:jc w:val="both"/>
        <w:rPr>
          <w:rFonts w:ascii="Times New Roman" w:hAnsi="Times New Roman" w:cs="Times New Roman"/>
          <w:b/>
        </w:rPr>
      </w:pPr>
      <w:r w:rsidRPr="00C447B5">
        <w:rPr>
          <w:rFonts w:ascii="Times New Roman" w:hAnsi="Times New Roman" w:cs="Times New Roman"/>
          <w:b/>
        </w:rPr>
        <w:br w:type="page"/>
      </w:r>
    </w:p>
    <w:p w14:paraId="2E8EE935" w14:textId="14157367" w:rsidR="008601C9" w:rsidRPr="0047173A" w:rsidRDefault="008601C9">
      <w:pPr>
        <w:rPr>
          <w:rFonts w:ascii="Times New Roman" w:hAnsi="Times New Roman" w:cs="Times New Roman"/>
          <w:sz w:val="21"/>
          <w:szCs w:val="21"/>
        </w:rPr>
      </w:pPr>
    </w:p>
    <w:p w14:paraId="3777BEA0" w14:textId="4FDA5C45" w:rsidR="001602B3" w:rsidRPr="0047173A" w:rsidRDefault="001602B3" w:rsidP="003F3652">
      <w:pPr>
        <w:spacing w:line="240" w:lineRule="auto"/>
        <w:jc w:val="center"/>
        <w:rPr>
          <w:rFonts w:ascii="Times New Roman" w:hAnsi="Times New Roman" w:cs="Times New Roman"/>
          <w:b/>
          <w:bCs/>
          <w:sz w:val="21"/>
          <w:szCs w:val="21"/>
        </w:rPr>
      </w:pPr>
      <w:r w:rsidRPr="0047173A">
        <w:rPr>
          <w:rFonts w:ascii="Times New Roman" w:hAnsi="Times New Roman" w:cs="Times New Roman"/>
          <w:b/>
          <w:bCs/>
          <w:sz w:val="21"/>
          <w:szCs w:val="21"/>
        </w:rPr>
        <w:t xml:space="preserve">Annexure </w:t>
      </w:r>
      <w:r w:rsidR="004E6DD8" w:rsidRPr="0047173A">
        <w:rPr>
          <w:rFonts w:ascii="Times New Roman" w:hAnsi="Times New Roman" w:cs="Times New Roman"/>
          <w:b/>
          <w:bCs/>
          <w:sz w:val="21"/>
          <w:szCs w:val="21"/>
        </w:rPr>
        <w:t>I</w:t>
      </w:r>
    </w:p>
    <w:p w14:paraId="07D8D206" w14:textId="0712998A" w:rsidR="001602B3" w:rsidRPr="0047173A" w:rsidRDefault="001602B3" w:rsidP="001602B3">
      <w:pPr>
        <w:spacing w:line="240" w:lineRule="auto"/>
        <w:jc w:val="center"/>
        <w:rPr>
          <w:rFonts w:ascii="Times New Roman" w:hAnsi="Times New Roman" w:cs="Times New Roman"/>
          <w:b/>
          <w:bCs/>
          <w:sz w:val="21"/>
          <w:szCs w:val="21"/>
        </w:rPr>
      </w:pPr>
      <w:r w:rsidRPr="0047173A">
        <w:rPr>
          <w:rFonts w:ascii="Times New Roman" w:hAnsi="Times New Roman" w:cs="Times New Roman"/>
          <w:b/>
          <w:bCs/>
          <w:sz w:val="21"/>
          <w:szCs w:val="21"/>
        </w:rPr>
        <w:t>Format of the confirmation to be submitted on the letter head of the company:</w:t>
      </w:r>
    </w:p>
    <w:p w14:paraId="23FDF81D" w14:textId="77777777" w:rsidR="001602B3" w:rsidRPr="0047173A" w:rsidRDefault="001602B3" w:rsidP="001602B3">
      <w:pPr>
        <w:pStyle w:val="BodyTextIndent"/>
        <w:ind w:left="0" w:firstLine="0"/>
        <w:rPr>
          <w:sz w:val="21"/>
          <w:szCs w:val="21"/>
        </w:rPr>
      </w:pPr>
    </w:p>
    <w:p w14:paraId="61243265" w14:textId="77777777" w:rsidR="001602B3" w:rsidRPr="0047173A" w:rsidRDefault="001602B3" w:rsidP="001602B3">
      <w:pPr>
        <w:pStyle w:val="BodyTextIndent"/>
        <w:ind w:left="0" w:firstLine="0"/>
        <w:rPr>
          <w:sz w:val="21"/>
          <w:szCs w:val="21"/>
        </w:rPr>
      </w:pPr>
      <w:r w:rsidRPr="0047173A">
        <w:rPr>
          <w:sz w:val="21"/>
          <w:szCs w:val="21"/>
        </w:rPr>
        <w:t>To,</w:t>
      </w:r>
    </w:p>
    <w:p w14:paraId="44AE3FEE" w14:textId="77777777" w:rsidR="001602B3" w:rsidRPr="0047173A" w:rsidRDefault="001602B3" w:rsidP="001602B3">
      <w:pPr>
        <w:pStyle w:val="BodyTextIndent"/>
        <w:ind w:left="0" w:firstLine="0"/>
        <w:rPr>
          <w:sz w:val="21"/>
          <w:szCs w:val="21"/>
        </w:rPr>
      </w:pPr>
      <w:r w:rsidRPr="0047173A">
        <w:rPr>
          <w:sz w:val="21"/>
          <w:szCs w:val="21"/>
        </w:rPr>
        <w:t>Manager - Listing Compliance</w:t>
      </w:r>
    </w:p>
    <w:p w14:paraId="6BD7753C" w14:textId="77777777" w:rsidR="001602B3" w:rsidRPr="0047173A" w:rsidRDefault="001602B3" w:rsidP="001602B3">
      <w:pPr>
        <w:pStyle w:val="BodyTextIndent"/>
        <w:ind w:left="0" w:firstLine="0"/>
        <w:rPr>
          <w:sz w:val="21"/>
          <w:szCs w:val="21"/>
        </w:rPr>
      </w:pPr>
      <w:r w:rsidRPr="0047173A">
        <w:rPr>
          <w:sz w:val="21"/>
          <w:szCs w:val="21"/>
        </w:rPr>
        <w:t>National Stock Exchange of India Limited</w:t>
      </w:r>
    </w:p>
    <w:p w14:paraId="43B96E97" w14:textId="77777777" w:rsidR="001602B3" w:rsidRPr="0047173A" w:rsidRDefault="001602B3" w:rsidP="001602B3">
      <w:pPr>
        <w:pStyle w:val="BodyTextIndent"/>
        <w:ind w:left="0" w:firstLine="0"/>
        <w:rPr>
          <w:sz w:val="21"/>
          <w:szCs w:val="21"/>
        </w:rPr>
      </w:pPr>
      <w:r w:rsidRPr="0047173A">
        <w:rPr>
          <w:sz w:val="21"/>
          <w:szCs w:val="21"/>
        </w:rPr>
        <w:t>‘Exchange Plaza’. C-1, Block G,</w:t>
      </w:r>
    </w:p>
    <w:p w14:paraId="3BD470FF" w14:textId="77777777" w:rsidR="001602B3" w:rsidRPr="0047173A" w:rsidRDefault="001602B3" w:rsidP="001602B3">
      <w:pPr>
        <w:pStyle w:val="BodyTextIndent"/>
        <w:ind w:left="0" w:firstLine="0"/>
        <w:rPr>
          <w:sz w:val="21"/>
          <w:szCs w:val="21"/>
        </w:rPr>
      </w:pPr>
      <w:r w:rsidRPr="0047173A">
        <w:rPr>
          <w:sz w:val="21"/>
          <w:szCs w:val="21"/>
        </w:rPr>
        <w:t>Bandra Kurla Complex, Bandra (E),</w:t>
      </w:r>
    </w:p>
    <w:p w14:paraId="5FFFADD1" w14:textId="77777777" w:rsidR="001602B3" w:rsidRPr="0047173A" w:rsidRDefault="001602B3" w:rsidP="001602B3">
      <w:pPr>
        <w:spacing w:line="240" w:lineRule="auto"/>
        <w:rPr>
          <w:rFonts w:ascii="Times New Roman" w:hAnsi="Times New Roman" w:cs="Times New Roman"/>
          <w:sz w:val="21"/>
          <w:szCs w:val="21"/>
        </w:rPr>
      </w:pPr>
      <w:r w:rsidRPr="0047173A">
        <w:rPr>
          <w:rFonts w:ascii="Times New Roman" w:hAnsi="Times New Roman" w:cs="Times New Roman"/>
          <w:sz w:val="21"/>
          <w:szCs w:val="21"/>
        </w:rPr>
        <w:t>Mumbai - 400 051</w:t>
      </w:r>
    </w:p>
    <w:p w14:paraId="6EBC1A31" w14:textId="77777777" w:rsidR="001602B3" w:rsidRPr="0047173A" w:rsidRDefault="001602B3" w:rsidP="001602B3">
      <w:pPr>
        <w:spacing w:line="240" w:lineRule="auto"/>
        <w:rPr>
          <w:rFonts w:ascii="Times New Roman" w:hAnsi="Times New Roman" w:cs="Times New Roman"/>
          <w:sz w:val="21"/>
          <w:szCs w:val="21"/>
        </w:rPr>
      </w:pPr>
      <w:r w:rsidRPr="0047173A">
        <w:rPr>
          <w:rFonts w:ascii="Times New Roman" w:hAnsi="Times New Roman" w:cs="Times New Roman"/>
          <w:sz w:val="21"/>
          <w:szCs w:val="21"/>
        </w:rPr>
        <w:t>Dear Sir/Madam,</w:t>
      </w:r>
    </w:p>
    <w:p w14:paraId="4145BFE3" w14:textId="77777777" w:rsidR="001602B3" w:rsidRPr="0047173A" w:rsidRDefault="001602B3" w:rsidP="001602B3">
      <w:pPr>
        <w:spacing w:line="240" w:lineRule="auto"/>
        <w:rPr>
          <w:rFonts w:ascii="Times New Roman" w:hAnsi="Times New Roman" w:cs="Times New Roman"/>
          <w:b/>
          <w:sz w:val="21"/>
          <w:szCs w:val="21"/>
        </w:rPr>
      </w:pPr>
      <w:r w:rsidRPr="0047173A">
        <w:rPr>
          <w:rFonts w:ascii="Times New Roman" w:hAnsi="Times New Roman" w:cs="Times New Roman"/>
          <w:b/>
          <w:sz w:val="21"/>
          <w:szCs w:val="21"/>
        </w:rPr>
        <w:t>Sub:</w:t>
      </w:r>
      <w:r w:rsidRPr="0047173A">
        <w:rPr>
          <w:rFonts w:ascii="Times New Roman" w:hAnsi="Times New Roman" w:cs="Times New Roman"/>
          <w:b/>
          <w:sz w:val="21"/>
          <w:szCs w:val="21"/>
        </w:rPr>
        <w:tab/>
        <w:t>Application for listing of ___________ equity shares issued on rights basis in terms of Chapter III of SEBI (ICDR) Regulations, 2018</w:t>
      </w:r>
    </w:p>
    <w:p w14:paraId="2BDF4B7F" w14:textId="77777777" w:rsidR="001602B3" w:rsidRPr="0047173A" w:rsidRDefault="001602B3" w:rsidP="001602B3">
      <w:pPr>
        <w:pStyle w:val="ListParagraph"/>
        <w:spacing w:after="0" w:line="240" w:lineRule="auto"/>
        <w:ind w:left="481"/>
        <w:jc w:val="both"/>
        <w:rPr>
          <w:rFonts w:ascii="Times New Roman" w:eastAsia="Times New Roman" w:hAnsi="Times New Roman" w:cs="Times New Roman"/>
          <w:sz w:val="21"/>
          <w:szCs w:val="21"/>
        </w:rPr>
      </w:pPr>
    </w:p>
    <w:p w14:paraId="30600D6C" w14:textId="77777777" w:rsidR="001602B3" w:rsidRPr="0047173A" w:rsidRDefault="001602B3" w:rsidP="001602B3">
      <w:pPr>
        <w:spacing w:line="240" w:lineRule="auto"/>
        <w:rPr>
          <w:rFonts w:ascii="Times New Roman" w:hAnsi="Times New Roman" w:cs="Times New Roman"/>
          <w:sz w:val="21"/>
          <w:szCs w:val="21"/>
        </w:rPr>
      </w:pPr>
      <w:r w:rsidRPr="0047173A">
        <w:rPr>
          <w:rFonts w:ascii="Times New Roman" w:hAnsi="Times New Roman" w:cs="Times New Roman"/>
          <w:sz w:val="21"/>
          <w:szCs w:val="21"/>
        </w:rPr>
        <w:t>In connection with above application, we hereby confirm and certify that:</w:t>
      </w:r>
    </w:p>
    <w:p w14:paraId="6FEFAA3E" w14:textId="77777777" w:rsidR="001B1FA1" w:rsidRPr="0047173A" w:rsidRDefault="001602B3" w:rsidP="001B1FA1">
      <w:pPr>
        <w:pStyle w:val="ListParagraph"/>
        <w:numPr>
          <w:ilvl w:val="0"/>
          <w:numId w:val="5"/>
        </w:numPr>
        <w:spacing w:after="0" w:line="240" w:lineRule="auto"/>
        <w:ind w:left="481" w:hanging="426"/>
        <w:jc w:val="both"/>
        <w:rPr>
          <w:rFonts w:ascii="Times New Roman" w:eastAsia="Times New Roman" w:hAnsi="Times New Roman" w:cs="Times New Roman"/>
          <w:sz w:val="21"/>
          <w:szCs w:val="21"/>
        </w:rPr>
      </w:pPr>
      <w:r w:rsidRPr="0047173A">
        <w:rPr>
          <w:rFonts w:ascii="Times New Roman" w:hAnsi="Times New Roman" w:cs="Times New Roman"/>
          <w:sz w:val="21"/>
          <w:szCs w:val="21"/>
        </w:rPr>
        <w:t xml:space="preserve">The shares </w:t>
      </w:r>
      <w:r w:rsidR="00574551" w:rsidRPr="0047173A">
        <w:rPr>
          <w:rFonts w:ascii="Times New Roman" w:hAnsi="Times New Roman" w:cs="Times New Roman"/>
          <w:sz w:val="21"/>
          <w:szCs w:val="21"/>
        </w:rPr>
        <w:t>allotted</w:t>
      </w:r>
      <w:r w:rsidRPr="0047173A">
        <w:rPr>
          <w:rFonts w:ascii="Times New Roman" w:hAnsi="Times New Roman" w:cs="Times New Roman"/>
          <w:sz w:val="21"/>
          <w:szCs w:val="21"/>
        </w:rPr>
        <w:t xml:space="preserve"> rank pari-passu with the existing equity shares of the Company including dividend.</w:t>
      </w:r>
    </w:p>
    <w:p w14:paraId="58630DB3" w14:textId="77777777" w:rsidR="001B1FA1" w:rsidRPr="0047173A" w:rsidRDefault="001B1FA1" w:rsidP="001B1FA1">
      <w:pPr>
        <w:pStyle w:val="ListParagraph"/>
        <w:spacing w:after="0" w:line="240" w:lineRule="auto"/>
        <w:ind w:left="481"/>
        <w:jc w:val="both"/>
        <w:rPr>
          <w:rFonts w:ascii="Times New Roman" w:eastAsia="Times New Roman" w:hAnsi="Times New Roman" w:cs="Times New Roman"/>
          <w:sz w:val="21"/>
          <w:szCs w:val="21"/>
        </w:rPr>
      </w:pPr>
    </w:p>
    <w:p w14:paraId="6B116B8F" w14:textId="77777777" w:rsidR="001B1FA1" w:rsidRPr="0047173A" w:rsidRDefault="001B1FA1" w:rsidP="001B1FA1">
      <w:pPr>
        <w:pStyle w:val="ListParagraph"/>
        <w:numPr>
          <w:ilvl w:val="0"/>
          <w:numId w:val="5"/>
        </w:numPr>
        <w:spacing w:after="0" w:line="240" w:lineRule="auto"/>
        <w:ind w:left="450"/>
        <w:jc w:val="both"/>
        <w:rPr>
          <w:rFonts w:ascii="Times New Roman" w:eastAsia="Times New Roman" w:hAnsi="Times New Roman" w:cs="Times New Roman"/>
          <w:sz w:val="21"/>
          <w:szCs w:val="21"/>
        </w:rPr>
      </w:pPr>
      <w:r w:rsidRPr="0047173A">
        <w:rPr>
          <w:rFonts w:ascii="Times New Roman" w:eastAsia="Times New Roman" w:hAnsi="Times New Roman" w:cs="Times New Roman"/>
          <w:sz w:val="21"/>
          <w:szCs w:val="21"/>
        </w:rPr>
        <w:t xml:space="preserve">The shares </w:t>
      </w:r>
      <w:r w:rsidR="00574551" w:rsidRPr="0047173A">
        <w:rPr>
          <w:rFonts w:ascii="Times New Roman" w:eastAsia="Times New Roman" w:hAnsi="Times New Roman" w:cs="Times New Roman"/>
          <w:sz w:val="21"/>
          <w:szCs w:val="21"/>
        </w:rPr>
        <w:t>allotted</w:t>
      </w:r>
      <w:r w:rsidRPr="0047173A">
        <w:rPr>
          <w:rFonts w:ascii="Times New Roman" w:eastAsia="Times New Roman" w:hAnsi="Times New Roman" w:cs="Times New Roman"/>
          <w:sz w:val="21"/>
          <w:szCs w:val="21"/>
        </w:rPr>
        <w:t xml:space="preserve"> to NRIs are as per guidelines issued by Reserve Bank of India</w:t>
      </w:r>
    </w:p>
    <w:p w14:paraId="16583D7F" w14:textId="77777777" w:rsidR="001B1FA1" w:rsidRPr="0047173A" w:rsidRDefault="001B1FA1" w:rsidP="001B1FA1">
      <w:pPr>
        <w:pStyle w:val="ListParagraph"/>
        <w:rPr>
          <w:rFonts w:ascii="Times New Roman" w:eastAsia="Times New Roman" w:hAnsi="Times New Roman" w:cs="Times New Roman"/>
          <w:sz w:val="21"/>
          <w:szCs w:val="21"/>
        </w:rPr>
      </w:pPr>
    </w:p>
    <w:p w14:paraId="523BDE05" w14:textId="77777777" w:rsidR="001602B3" w:rsidRPr="0047173A" w:rsidRDefault="001602B3" w:rsidP="001602B3">
      <w:pPr>
        <w:pStyle w:val="ListParagraph"/>
        <w:numPr>
          <w:ilvl w:val="0"/>
          <w:numId w:val="5"/>
        </w:numPr>
        <w:spacing w:after="0" w:line="240" w:lineRule="auto"/>
        <w:ind w:left="481" w:hanging="426"/>
        <w:jc w:val="both"/>
        <w:rPr>
          <w:rFonts w:ascii="Times New Roman" w:eastAsia="Times New Roman" w:hAnsi="Times New Roman" w:cs="Times New Roman"/>
          <w:sz w:val="21"/>
          <w:szCs w:val="21"/>
        </w:rPr>
      </w:pPr>
      <w:r w:rsidRPr="0047173A">
        <w:rPr>
          <w:rFonts w:ascii="Times New Roman" w:eastAsia="Times New Roman" w:hAnsi="Times New Roman" w:cs="Times New Roman"/>
          <w:sz w:val="21"/>
          <w:szCs w:val="21"/>
        </w:rPr>
        <w:t>Refund orders shall be payable at par all places where application money is received.</w:t>
      </w:r>
    </w:p>
    <w:p w14:paraId="5DC13816" w14:textId="77777777" w:rsidR="001B1FA1" w:rsidRPr="0047173A" w:rsidRDefault="001B1FA1" w:rsidP="001B1FA1">
      <w:pPr>
        <w:pStyle w:val="ListParagraph"/>
        <w:spacing w:after="0" w:line="240" w:lineRule="auto"/>
        <w:ind w:left="481"/>
        <w:jc w:val="both"/>
        <w:rPr>
          <w:rFonts w:ascii="Times New Roman" w:eastAsia="Times New Roman" w:hAnsi="Times New Roman" w:cs="Times New Roman"/>
          <w:sz w:val="21"/>
          <w:szCs w:val="21"/>
        </w:rPr>
      </w:pPr>
    </w:p>
    <w:p w14:paraId="58918EC4" w14:textId="6F98E7C5" w:rsidR="001602B3" w:rsidRPr="0047173A" w:rsidRDefault="001602B3" w:rsidP="001602B3">
      <w:pPr>
        <w:pStyle w:val="ListParagraph"/>
        <w:numPr>
          <w:ilvl w:val="0"/>
          <w:numId w:val="5"/>
        </w:numPr>
        <w:spacing w:after="0" w:line="240" w:lineRule="auto"/>
        <w:ind w:left="481" w:hanging="426"/>
        <w:jc w:val="both"/>
        <w:rPr>
          <w:rFonts w:ascii="Times New Roman" w:eastAsia="Times New Roman" w:hAnsi="Times New Roman" w:cs="Times New Roman"/>
          <w:sz w:val="21"/>
          <w:szCs w:val="21"/>
        </w:rPr>
      </w:pPr>
      <w:r w:rsidRPr="0047173A">
        <w:rPr>
          <w:rFonts w:ascii="Times New Roman" w:eastAsia="Times New Roman" w:hAnsi="Times New Roman" w:cs="Times New Roman"/>
          <w:sz w:val="21"/>
          <w:szCs w:val="21"/>
        </w:rPr>
        <w:t xml:space="preserve">Allotment money </w:t>
      </w:r>
      <w:r w:rsidR="00AE1BA8" w:rsidRPr="0047173A">
        <w:rPr>
          <w:rFonts w:ascii="Times New Roman" w:eastAsia="Times New Roman" w:hAnsi="Times New Roman" w:cs="Times New Roman"/>
          <w:sz w:val="21"/>
          <w:szCs w:val="21"/>
        </w:rPr>
        <w:t>was</w:t>
      </w:r>
      <w:r w:rsidRPr="0047173A">
        <w:rPr>
          <w:rFonts w:ascii="Times New Roman" w:eastAsia="Times New Roman" w:hAnsi="Times New Roman" w:cs="Times New Roman"/>
          <w:sz w:val="21"/>
          <w:szCs w:val="21"/>
        </w:rPr>
        <w:t xml:space="preserve"> payable at all centers where application money is received.</w:t>
      </w:r>
    </w:p>
    <w:p w14:paraId="631EC8D2" w14:textId="77777777" w:rsidR="001B1FA1" w:rsidRPr="0047173A" w:rsidRDefault="001B1FA1" w:rsidP="001B1FA1">
      <w:pPr>
        <w:pStyle w:val="ListParagraph"/>
        <w:spacing w:after="0" w:line="240" w:lineRule="auto"/>
        <w:ind w:left="481"/>
        <w:jc w:val="both"/>
        <w:rPr>
          <w:rFonts w:ascii="Times New Roman" w:eastAsia="Times New Roman" w:hAnsi="Times New Roman" w:cs="Times New Roman"/>
          <w:sz w:val="21"/>
          <w:szCs w:val="21"/>
        </w:rPr>
      </w:pPr>
    </w:p>
    <w:p w14:paraId="2F0B1567" w14:textId="77777777" w:rsidR="005C3502" w:rsidRPr="0047173A" w:rsidRDefault="001602B3" w:rsidP="004E6DD8">
      <w:pPr>
        <w:pStyle w:val="ListParagraph"/>
        <w:numPr>
          <w:ilvl w:val="0"/>
          <w:numId w:val="5"/>
        </w:numPr>
        <w:spacing w:after="0" w:line="240" w:lineRule="auto"/>
        <w:ind w:left="481" w:hanging="426"/>
        <w:jc w:val="both"/>
        <w:rPr>
          <w:rFonts w:ascii="Times New Roman" w:eastAsia="Times New Roman" w:hAnsi="Times New Roman" w:cs="Times New Roman"/>
          <w:sz w:val="21"/>
          <w:szCs w:val="21"/>
        </w:rPr>
      </w:pPr>
      <w:r w:rsidRPr="0047173A">
        <w:rPr>
          <w:rFonts w:ascii="Times New Roman" w:eastAsia="Times New Roman" w:hAnsi="Times New Roman" w:cs="Times New Roman"/>
          <w:sz w:val="21"/>
          <w:szCs w:val="21"/>
        </w:rPr>
        <w:t>The issue is in compliance with the SEBI (Issue of Capital &amp; Disclosure Requirement) Regulations, 2018.</w:t>
      </w:r>
    </w:p>
    <w:p w14:paraId="5740E696" w14:textId="519D02E8" w:rsidR="001B1FA1" w:rsidRPr="0047173A" w:rsidRDefault="001B1FA1" w:rsidP="001B1FA1">
      <w:pPr>
        <w:pStyle w:val="ListParagraph"/>
        <w:spacing w:after="0" w:line="240" w:lineRule="auto"/>
        <w:ind w:left="481"/>
        <w:jc w:val="both"/>
        <w:rPr>
          <w:rFonts w:ascii="Times New Roman" w:eastAsia="Times New Roman" w:hAnsi="Times New Roman" w:cs="Times New Roman"/>
          <w:sz w:val="21"/>
          <w:szCs w:val="21"/>
        </w:rPr>
      </w:pPr>
    </w:p>
    <w:p w14:paraId="6FDADDFC" w14:textId="77777777" w:rsidR="001B1FA1" w:rsidRPr="0047173A" w:rsidRDefault="001B1FA1" w:rsidP="001B1FA1">
      <w:pPr>
        <w:pStyle w:val="ListParagraph"/>
        <w:numPr>
          <w:ilvl w:val="0"/>
          <w:numId w:val="5"/>
        </w:numPr>
        <w:spacing w:after="200" w:line="240" w:lineRule="auto"/>
        <w:ind w:left="450"/>
        <w:jc w:val="both"/>
        <w:rPr>
          <w:rFonts w:ascii="Times New Roman" w:hAnsi="Times New Roman" w:cs="Times New Roman"/>
          <w:sz w:val="21"/>
          <w:szCs w:val="21"/>
        </w:rPr>
      </w:pPr>
      <w:r w:rsidRPr="0047173A">
        <w:rPr>
          <w:rFonts w:ascii="Times New Roman" w:hAnsi="Times New Roman" w:cs="Times New Roman"/>
          <w:sz w:val="21"/>
          <w:szCs w:val="21"/>
        </w:rPr>
        <w:t>The issuer, any of its promoters, promoter group or directors of the issuer are not debarred from accessing the capital market by the Board;</w:t>
      </w:r>
    </w:p>
    <w:p w14:paraId="3A82F00D" w14:textId="77777777" w:rsidR="001B1FA1" w:rsidRPr="0047173A" w:rsidRDefault="001B1FA1" w:rsidP="001B1FA1">
      <w:pPr>
        <w:pStyle w:val="ListParagraph"/>
        <w:ind w:left="450"/>
        <w:rPr>
          <w:rFonts w:ascii="Times New Roman" w:hAnsi="Times New Roman" w:cs="Times New Roman"/>
          <w:sz w:val="21"/>
          <w:szCs w:val="21"/>
        </w:rPr>
      </w:pPr>
    </w:p>
    <w:p w14:paraId="4C4004F4" w14:textId="6C3FA357" w:rsidR="001B1FA1" w:rsidRPr="0047173A" w:rsidRDefault="004D1E09" w:rsidP="001B1FA1">
      <w:pPr>
        <w:pStyle w:val="ListParagraph"/>
        <w:numPr>
          <w:ilvl w:val="0"/>
          <w:numId w:val="5"/>
        </w:numPr>
        <w:spacing w:after="200" w:line="240" w:lineRule="auto"/>
        <w:ind w:left="450"/>
        <w:jc w:val="both"/>
        <w:rPr>
          <w:rFonts w:ascii="Times New Roman" w:hAnsi="Times New Roman" w:cs="Times New Roman"/>
          <w:sz w:val="21"/>
          <w:szCs w:val="21"/>
        </w:rPr>
      </w:pPr>
      <w:r w:rsidRPr="0047173A">
        <w:rPr>
          <w:rFonts w:ascii="Times New Roman" w:hAnsi="Times New Roman" w:cs="Times New Roman"/>
          <w:sz w:val="21"/>
          <w:szCs w:val="21"/>
        </w:rPr>
        <w:t>None</w:t>
      </w:r>
      <w:r w:rsidR="001B1FA1" w:rsidRPr="0047173A">
        <w:rPr>
          <w:rFonts w:ascii="Times New Roman" w:hAnsi="Times New Roman" w:cs="Times New Roman"/>
          <w:sz w:val="21"/>
          <w:szCs w:val="21"/>
        </w:rPr>
        <w:t xml:space="preserve"> of the promoters or directors of the issuer is a promoter or director of any other company which is debarred from accessing the capital market by the Board.</w:t>
      </w:r>
    </w:p>
    <w:p w14:paraId="622C11A8" w14:textId="77777777" w:rsidR="00E232D3" w:rsidRPr="0047173A" w:rsidRDefault="00E232D3" w:rsidP="00E232D3">
      <w:pPr>
        <w:pStyle w:val="ListParagraph"/>
        <w:rPr>
          <w:rFonts w:ascii="Times New Roman" w:hAnsi="Times New Roman" w:cs="Times New Roman"/>
          <w:sz w:val="21"/>
          <w:szCs w:val="21"/>
        </w:rPr>
      </w:pPr>
    </w:p>
    <w:p w14:paraId="54FC483B" w14:textId="6EA07556" w:rsidR="00E232D3" w:rsidRPr="0047173A" w:rsidRDefault="00F859F4" w:rsidP="00E232D3">
      <w:pPr>
        <w:pStyle w:val="ListParagraph"/>
        <w:numPr>
          <w:ilvl w:val="0"/>
          <w:numId w:val="5"/>
        </w:numPr>
        <w:spacing w:after="0" w:line="276" w:lineRule="auto"/>
        <w:ind w:left="450"/>
        <w:jc w:val="both"/>
        <w:rPr>
          <w:rFonts w:ascii="Times New Roman" w:hAnsi="Times New Roman"/>
          <w:b/>
          <w:sz w:val="21"/>
          <w:szCs w:val="21"/>
        </w:rPr>
      </w:pPr>
      <w:r>
        <w:rPr>
          <w:rFonts w:ascii="Times New Roman" w:eastAsia="Times New Roman" w:hAnsi="Times New Roman"/>
          <w:sz w:val="21"/>
          <w:szCs w:val="21"/>
        </w:rPr>
        <w:t>T</w:t>
      </w:r>
      <w:r w:rsidR="00E232D3" w:rsidRPr="0047173A">
        <w:rPr>
          <w:rFonts w:ascii="Times New Roman" w:eastAsia="Times New Roman" w:hAnsi="Times New Roman"/>
          <w:sz w:val="21"/>
          <w:szCs w:val="21"/>
        </w:rPr>
        <w:t>he company, its whole-time directors, person(s) responsible for ensuring compliance with the securities laws, its promoters and the companies which are promoted by any of them are not in violation of the provisions of Regulation 34 of the SEBI (Delisting of Equity Shares) Regulations, 2021.</w:t>
      </w:r>
      <w:r w:rsidR="00E232D3" w:rsidRPr="0047173A">
        <w:rPr>
          <w:rFonts w:ascii="Times New Roman" w:hAnsi="Times New Roman"/>
          <w:b/>
          <w:sz w:val="21"/>
          <w:szCs w:val="21"/>
        </w:rPr>
        <w:t xml:space="preserve">     </w:t>
      </w:r>
    </w:p>
    <w:p w14:paraId="3ED2F631" w14:textId="77777777" w:rsidR="00FC01C1" w:rsidRPr="0047173A" w:rsidRDefault="00FC01C1" w:rsidP="00FC01C1">
      <w:pPr>
        <w:pStyle w:val="ListParagraph"/>
        <w:rPr>
          <w:rFonts w:ascii="Times New Roman" w:hAnsi="Times New Roman"/>
          <w:b/>
          <w:sz w:val="21"/>
          <w:szCs w:val="21"/>
        </w:rPr>
      </w:pPr>
    </w:p>
    <w:p w14:paraId="73F4490B" w14:textId="77777777" w:rsidR="00FC01C1" w:rsidRPr="00AE11E2" w:rsidRDefault="00FC01C1" w:rsidP="00FC01C1">
      <w:pPr>
        <w:pStyle w:val="ListParagraph"/>
        <w:numPr>
          <w:ilvl w:val="0"/>
          <w:numId w:val="5"/>
        </w:numPr>
        <w:spacing w:after="0" w:line="276" w:lineRule="auto"/>
        <w:ind w:left="450"/>
        <w:jc w:val="both"/>
        <w:rPr>
          <w:rFonts w:ascii="Times New Roman" w:hAnsi="Times New Roman"/>
          <w:bCs/>
          <w:sz w:val="21"/>
          <w:szCs w:val="21"/>
        </w:rPr>
      </w:pPr>
      <w:r w:rsidRPr="00AE11E2">
        <w:rPr>
          <w:rFonts w:ascii="Times New Roman" w:hAnsi="Times New Roman"/>
          <w:bCs/>
          <w:sz w:val="21"/>
          <w:szCs w:val="21"/>
        </w:rPr>
        <w:t>The company/RTA has updated the DNR details for the current allotment on depository portal.</w:t>
      </w:r>
    </w:p>
    <w:p w14:paraId="7DA332D6" w14:textId="77777777" w:rsidR="00FC01C1" w:rsidRPr="00AE11E2" w:rsidRDefault="00FC01C1" w:rsidP="00FC01C1">
      <w:pPr>
        <w:pStyle w:val="ListParagraph"/>
        <w:rPr>
          <w:rFonts w:ascii="Times New Roman" w:hAnsi="Times New Roman"/>
          <w:bCs/>
          <w:sz w:val="21"/>
          <w:szCs w:val="21"/>
        </w:rPr>
      </w:pPr>
    </w:p>
    <w:p w14:paraId="0EE33E1F" w14:textId="44A7866F" w:rsidR="00FC01C1" w:rsidRPr="00AE11E2" w:rsidRDefault="00FC01C1" w:rsidP="00FC01C1">
      <w:pPr>
        <w:pStyle w:val="ListParagraph"/>
        <w:numPr>
          <w:ilvl w:val="0"/>
          <w:numId w:val="5"/>
        </w:numPr>
        <w:spacing w:after="0" w:line="276" w:lineRule="auto"/>
        <w:ind w:left="360" w:right="-180"/>
        <w:jc w:val="both"/>
        <w:rPr>
          <w:rFonts w:ascii="Times New Roman" w:hAnsi="Times New Roman"/>
          <w:bCs/>
          <w:sz w:val="21"/>
          <w:szCs w:val="21"/>
        </w:rPr>
      </w:pPr>
      <w:r w:rsidRPr="00AE11E2">
        <w:rPr>
          <w:rFonts w:ascii="Times New Roman" w:hAnsi="Times New Roman"/>
          <w:bCs/>
          <w:sz w:val="21"/>
          <w:szCs w:val="21"/>
        </w:rPr>
        <w:t>The company will submit/has submitted shareholding pattern as per Regulation 31(1)( c ) od SEBI (LODR) Regulations, 2015</w:t>
      </w:r>
      <w:r w:rsidR="00F859F4" w:rsidRPr="00AE11E2">
        <w:rPr>
          <w:rFonts w:ascii="Times New Roman" w:hAnsi="Times New Roman"/>
          <w:bCs/>
          <w:sz w:val="21"/>
          <w:szCs w:val="21"/>
        </w:rPr>
        <w:t xml:space="preserve"> separately on NEAPS portal</w:t>
      </w:r>
      <w:r w:rsidR="00BB1673" w:rsidRPr="00AE11E2">
        <w:rPr>
          <w:rFonts w:ascii="Times New Roman" w:hAnsi="Times New Roman"/>
          <w:bCs/>
          <w:sz w:val="21"/>
          <w:szCs w:val="21"/>
        </w:rPr>
        <w:t xml:space="preserve"> within the applicable timelines</w:t>
      </w:r>
      <w:r w:rsidR="00F859F4" w:rsidRPr="00AE11E2">
        <w:rPr>
          <w:rFonts w:ascii="Times New Roman" w:hAnsi="Times New Roman"/>
          <w:bCs/>
          <w:sz w:val="21"/>
          <w:szCs w:val="21"/>
        </w:rPr>
        <w:t>.</w:t>
      </w:r>
      <w:r w:rsidRPr="00AE11E2">
        <w:rPr>
          <w:rFonts w:ascii="Times New Roman" w:hAnsi="Times New Roman"/>
          <w:bCs/>
          <w:sz w:val="21"/>
          <w:szCs w:val="21"/>
        </w:rPr>
        <w:t xml:space="preserve">       </w:t>
      </w:r>
    </w:p>
    <w:p w14:paraId="2CD0C120" w14:textId="77777777" w:rsidR="001B1FA1" w:rsidRPr="00AE11E2" w:rsidRDefault="001B1FA1" w:rsidP="00E232D3">
      <w:pPr>
        <w:pStyle w:val="ListParagraph"/>
        <w:spacing w:after="200" w:line="240" w:lineRule="auto"/>
        <w:ind w:left="450"/>
        <w:jc w:val="both"/>
        <w:rPr>
          <w:rFonts w:ascii="Times New Roman" w:hAnsi="Times New Roman" w:cs="Times New Roman"/>
          <w:sz w:val="21"/>
          <w:szCs w:val="21"/>
        </w:rPr>
      </w:pPr>
    </w:p>
    <w:p w14:paraId="5F8DA996" w14:textId="22ED7302" w:rsidR="001B1FA1" w:rsidRPr="0047173A" w:rsidRDefault="001B1FA1" w:rsidP="001B1FA1">
      <w:pPr>
        <w:pStyle w:val="ListParagraph"/>
        <w:numPr>
          <w:ilvl w:val="0"/>
          <w:numId w:val="5"/>
        </w:numPr>
        <w:spacing w:after="200" w:line="240" w:lineRule="auto"/>
        <w:ind w:left="450" w:hanging="426"/>
        <w:jc w:val="both"/>
        <w:rPr>
          <w:rFonts w:ascii="Times New Roman" w:hAnsi="Times New Roman" w:cs="Times New Roman"/>
          <w:sz w:val="21"/>
          <w:szCs w:val="21"/>
        </w:rPr>
      </w:pPr>
      <w:r w:rsidRPr="00AE11E2">
        <w:rPr>
          <w:rFonts w:ascii="Times New Roman" w:hAnsi="Times New Roman" w:cs="Times New Roman"/>
          <w:sz w:val="21"/>
          <w:szCs w:val="21"/>
        </w:rPr>
        <w:t>None of its</w:t>
      </w:r>
      <w:r w:rsidRPr="0047173A">
        <w:rPr>
          <w:rFonts w:ascii="Times New Roman" w:hAnsi="Times New Roman" w:cs="Times New Roman"/>
          <w:sz w:val="21"/>
          <w:szCs w:val="21"/>
        </w:rPr>
        <w:t xml:space="preserve"> promoters or directors is a fugitive economic offender.</w:t>
      </w:r>
    </w:p>
    <w:p w14:paraId="58AFCBD6" w14:textId="77777777" w:rsidR="001B1FA1" w:rsidRPr="0047173A" w:rsidRDefault="001B1FA1" w:rsidP="001B1FA1">
      <w:pPr>
        <w:pStyle w:val="ListParagraph"/>
        <w:spacing w:after="0" w:line="240" w:lineRule="auto"/>
        <w:ind w:left="481"/>
        <w:jc w:val="both"/>
        <w:rPr>
          <w:rFonts w:ascii="Times New Roman" w:eastAsia="Times New Roman" w:hAnsi="Times New Roman" w:cs="Times New Roman"/>
          <w:sz w:val="21"/>
          <w:szCs w:val="21"/>
        </w:rPr>
      </w:pPr>
    </w:p>
    <w:p w14:paraId="6B2BC39B" w14:textId="77777777" w:rsidR="001B1FA1" w:rsidRPr="0047173A" w:rsidRDefault="001B1FA1" w:rsidP="001B1FA1">
      <w:pPr>
        <w:pStyle w:val="ListParagraph"/>
        <w:numPr>
          <w:ilvl w:val="0"/>
          <w:numId w:val="5"/>
        </w:numPr>
        <w:spacing w:after="0" w:line="240" w:lineRule="auto"/>
        <w:ind w:left="450"/>
        <w:jc w:val="both"/>
        <w:rPr>
          <w:rFonts w:ascii="Times New Roman" w:eastAsia="Times New Roman" w:hAnsi="Times New Roman" w:cs="Times New Roman"/>
          <w:sz w:val="21"/>
          <w:szCs w:val="21"/>
        </w:rPr>
      </w:pPr>
      <w:r w:rsidRPr="0047173A">
        <w:rPr>
          <w:rFonts w:ascii="Times New Roman" w:eastAsia="Times New Roman" w:hAnsi="Times New Roman" w:cs="Times New Roman"/>
          <w:sz w:val="21"/>
          <w:szCs w:val="21"/>
        </w:rPr>
        <w:t>Details of additional listing fees, if applicable.</w:t>
      </w:r>
    </w:p>
    <w:p w14:paraId="08FBFC9C" w14:textId="77777777" w:rsidR="001B1FA1" w:rsidRPr="0047173A" w:rsidRDefault="001B1FA1" w:rsidP="001B1FA1">
      <w:pPr>
        <w:pStyle w:val="ListParagraph"/>
        <w:spacing w:after="0" w:line="240" w:lineRule="auto"/>
        <w:ind w:left="481"/>
        <w:jc w:val="both"/>
        <w:rPr>
          <w:rFonts w:ascii="Times New Roman" w:eastAsia="Times New Roman" w:hAnsi="Times New Roman" w:cs="Times New Roman"/>
          <w:sz w:val="21"/>
          <w:szCs w:val="21"/>
        </w:rPr>
      </w:pPr>
    </w:p>
    <w:p w14:paraId="4616A458" w14:textId="77777777" w:rsidR="001B1FA1" w:rsidRPr="00C447B5" w:rsidRDefault="001B1FA1" w:rsidP="001B1FA1">
      <w:pPr>
        <w:pStyle w:val="ListParagraph"/>
        <w:spacing w:after="0" w:line="240" w:lineRule="auto"/>
        <w:ind w:left="481"/>
        <w:jc w:val="both"/>
        <w:rPr>
          <w:rFonts w:ascii="Times New Roman" w:eastAsia="Times New Roman" w:hAnsi="Times New Roman" w:cs="Times New Roman"/>
        </w:rPr>
      </w:pPr>
    </w:p>
    <w:p w14:paraId="6DAB9C3B" w14:textId="654B2DBB" w:rsidR="001B1FA1" w:rsidRPr="00C447B5" w:rsidRDefault="005677B5" w:rsidP="001B1FA1">
      <w:pPr>
        <w:pStyle w:val="ListParagraph"/>
        <w:spacing w:after="0" w:line="240" w:lineRule="auto"/>
        <w:ind w:left="481"/>
        <w:jc w:val="both"/>
        <w:rPr>
          <w:rFonts w:ascii="Times New Roman" w:eastAsia="Times New Roman" w:hAnsi="Times New Roman" w:cs="Times New Roman"/>
        </w:rPr>
      </w:pPr>
      <w:r>
        <w:rPr>
          <w:rFonts w:ascii="Times New Roman" w:eastAsia="Times New Roman" w:hAnsi="Times New Roman" w:cs="Times New Roman"/>
        </w:rPr>
        <w:t>Date:</w:t>
      </w:r>
    </w:p>
    <w:p w14:paraId="6B958296" w14:textId="77777777" w:rsidR="001B1FA1" w:rsidRPr="00C447B5" w:rsidRDefault="001B1FA1" w:rsidP="001B1FA1">
      <w:pPr>
        <w:spacing w:after="0" w:line="240" w:lineRule="auto"/>
        <w:rPr>
          <w:rFonts w:ascii="Times New Roman" w:hAnsi="Times New Roman" w:cs="Times New Roman"/>
          <w:b/>
        </w:rPr>
      </w:pPr>
      <w:r w:rsidRPr="00C447B5">
        <w:rPr>
          <w:rFonts w:ascii="Times New Roman" w:hAnsi="Times New Roman" w:cs="Times New Roman"/>
          <w:b/>
        </w:rPr>
        <w:t xml:space="preserve">         </w:t>
      </w:r>
      <w:r w:rsidR="00BD2C9F" w:rsidRPr="00C447B5">
        <w:rPr>
          <w:rFonts w:ascii="Times New Roman" w:hAnsi="Times New Roman" w:cs="Times New Roman"/>
          <w:b/>
        </w:rPr>
        <w:tab/>
      </w:r>
      <w:r w:rsidR="00BD2C9F" w:rsidRPr="00C447B5">
        <w:rPr>
          <w:rFonts w:ascii="Times New Roman" w:hAnsi="Times New Roman" w:cs="Times New Roman"/>
          <w:b/>
        </w:rPr>
        <w:tab/>
      </w:r>
      <w:r w:rsidR="00BD2C9F" w:rsidRPr="00C447B5">
        <w:rPr>
          <w:rFonts w:ascii="Times New Roman" w:hAnsi="Times New Roman" w:cs="Times New Roman"/>
          <w:b/>
        </w:rPr>
        <w:tab/>
      </w:r>
      <w:r w:rsidR="00BD2C9F" w:rsidRPr="00C447B5">
        <w:rPr>
          <w:rFonts w:ascii="Times New Roman" w:hAnsi="Times New Roman" w:cs="Times New Roman"/>
          <w:b/>
        </w:rPr>
        <w:tab/>
      </w:r>
      <w:r w:rsidR="00BD2C9F" w:rsidRPr="00C447B5">
        <w:rPr>
          <w:rFonts w:ascii="Times New Roman" w:hAnsi="Times New Roman" w:cs="Times New Roman"/>
          <w:b/>
        </w:rPr>
        <w:tab/>
      </w:r>
      <w:r w:rsidR="00BD2C9F" w:rsidRPr="00C447B5">
        <w:rPr>
          <w:rFonts w:ascii="Times New Roman" w:hAnsi="Times New Roman" w:cs="Times New Roman"/>
          <w:b/>
        </w:rPr>
        <w:tab/>
      </w:r>
      <w:r w:rsidR="00BD2C9F" w:rsidRPr="00C447B5">
        <w:rPr>
          <w:rFonts w:ascii="Times New Roman" w:hAnsi="Times New Roman" w:cs="Times New Roman"/>
          <w:b/>
        </w:rPr>
        <w:tab/>
      </w:r>
      <w:r w:rsidR="00BD2C9F" w:rsidRPr="00C447B5">
        <w:rPr>
          <w:rFonts w:ascii="Times New Roman" w:hAnsi="Times New Roman" w:cs="Times New Roman"/>
          <w:b/>
        </w:rPr>
        <w:tab/>
      </w:r>
      <w:r w:rsidRPr="00C447B5">
        <w:rPr>
          <w:rFonts w:ascii="Times New Roman" w:hAnsi="Times New Roman" w:cs="Times New Roman"/>
          <w:b/>
        </w:rPr>
        <w:t xml:space="preserve"> ________________________________</w:t>
      </w:r>
    </w:p>
    <w:p w14:paraId="61BF97C5" w14:textId="77777777" w:rsidR="001B1FA1" w:rsidRPr="00C447B5" w:rsidRDefault="001B1FA1" w:rsidP="00BD2C9F">
      <w:pPr>
        <w:widowControl w:val="0"/>
        <w:spacing w:after="0" w:line="240" w:lineRule="auto"/>
        <w:ind w:left="7200" w:right="-187"/>
        <w:jc w:val="both"/>
        <w:rPr>
          <w:rFonts w:ascii="Times New Roman" w:hAnsi="Times New Roman" w:cs="Times New Roman"/>
        </w:rPr>
      </w:pPr>
      <w:r w:rsidRPr="00C447B5">
        <w:rPr>
          <w:rFonts w:ascii="Times New Roman" w:hAnsi="Times New Roman" w:cs="Times New Roman"/>
        </w:rPr>
        <w:t>(</w:t>
      </w:r>
      <w:r w:rsidR="00535A8A" w:rsidRPr="00C447B5">
        <w:rPr>
          <w:rFonts w:ascii="Times New Roman" w:hAnsi="Times New Roman" w:cs="Times New Roman"/>
        </w:rPr>
        <w:t>Authorized signatory</w:t>
      </w:r>
      <w:r w:rsidRPr="00C447B5">
        <w:rPr>
          <w:rFonts w:ascii="Times New Roman" w:hAnsi="Times New Roman" w:cs="Times New Roman"/>
        </w:rPr>
        <w:t>)</w:t>
      </w:r>
    </w:p>
    <w:p w14:paraId="40024EB3" w14:textId="3698F0BC" w:rsidR="00456E9A" w:rsidRPr="00C447B5" w:rsidRDefault="00456E9A" w:rsidP="001B1FA1">
      <w:pPr>
        <w:widowControl w:val="0"/>
        <w:spacing w:after="0" w:line="240" w:lineRule="auto"/>
        <w:ind w:left="426" w:right="-187"/>
        <w:jc w:val="both"/>
        <w:rPr>
          <w:rFonts w:ascii="Times New Roman" w:hAnsi="Times New Roman" w:cs="Times New Roman"/>
        </w:rPr>
      </w:pPr>
    </w:p>
    <w:p w14:paraId="76C3F7DD" w14:textId="77777777" w:rsidR="007365B3" w:rsidRPr="007365B3" w:rsidRDefault="007365B3" w:rsidP="007365B3">
      <w:pPr>
        <w:widowControl w:val="0"/>
        <w:spacing w:after="0" w:line="240" w:lineRule="auto"/>
        <w:ind w:left="426" w:right="-187"/>
        <w:jc w:val="center"/>
        <w:rPr>
          <w:rFonts w:ascii="Times New Roman" w:hAnsi="Times New Roman" w:cs="Times New Roman"/>
          <w:b/>
          <w:bCs/>
        </w:rPr>
      </w:pPr>
      <w:r w:rsidRPr="007365B3">
        <w:rPr>
          <w:rFonts w:ascii="Times New Roman" w:hAnsi="Times New Roman" w:cs="Times New Roman"/>
          <w:b/>
          <w:bCs/>
        </w:rPr>
        <w:t>General Instructions for filling up the application forms</w:t>
      </w:r>
    </w:p>
    <w:p w14:paraId="5708D943" w14:textId="77777777" w:rsidR="007365B3" w:rsidRPr="007365B3" w:rsidRDefault="007365B3" w:rsidP="007365B3">
      <w:pPr>
        <w:widowControl w:val="0"/>
        <w:spacing w:after="0" w:line="240" w:lineRule="auto"/>
        <w:ind w:left="426" w:right="-187"/>
        <w:jc w:val="both"/>
        <w:rPr>
          <w:rFonts w:ascii="Times New Roman" w:hAnsi="Times New Roman" w:cs="Times New Roman"/>
        </w:rPr>
      </w:pPr>
      <w:r w:rsidRPr="007365B3">
        <w:rPr>
          <w:rFonts w:ascii="Times New Roman" w:hAnsi="Times New Roman" w:cs="Times New Roman"/>
        </w:rPr>
        <w:tab/>
      </w:r>
    </w:p>
    <w:p w14:paraId="0983C279" w14:textId="77777777" w:rsidR="007365B3" w:rsidRPr="007365B3" w:rsidRDefault="007365B3" w:rsidP="007365B3">
      <w:pPr>
        <w:widowControl w:val="0"/>
        <w:spacing w:after="0" w:line="240" w:lineRule="auto"/>
        <w:ind w:left="426" w:right="-187"/>
        <w:jc w:val="both"/>
        <w:rPr>
          <w:rFonts w:ascii="Times New Roman" w:hAnsi="Times New Roman" w:cs="Times New Roman"/>
        </w:rPr>
      </w:pPr>
    </w:p>
    <w:p w14:paraId="1EC85B59" w14:textId="77777777" w:rsidR="007365B3" w:rsidRPr="007365B3" w:rsidRDefault="007365B3" w:rsidP="007365B3">
      <w:pPr>
        <w:widowControl w:val="0"/>
        <w:spacing w:after="0" w:line="240" w:lineRule="auto"/>
        <w:ind w:left="426" w:right="-187"/>
        <w:jc w:val="both"/>
        <w:rPr>
          <w:rFonts w:ascii="Times New Roman" w:hAnsi="Times New Roman" w:cs="Times New Roman"/>
        </w:rPr>
      </w:pPr>
    </w:p>
    <w:p w14:paraId="07653270" w14:textId="455C6D35" w:rsidR="007365B3" w:rsidRP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Submit the Listing Application only on NEAPs (NSE Electronic Application Processing System) on the following URL: https://neaps.nseindia.com/NEWLISTINGCORP/</w:t>
      </w:r>
    </w:p>
    <w:p w14:paraId="504CA2A4" w14:textId="77777777" w:rsidR="007365B3" w:rsidRPr="007365B3" w:rsidRDefault="007365B3" w:rsidP="007365B3">
      <w:pPr>
        <w:widowControl w:val="0"/>
        <w:spacing w:after="0" w:line="240" w:lineRule="auto"/>
        <w:ind w:left="426" w:right="-187"/>
        <w:jc w:val="both"/>
        <w:rPr>
          <w:rFonts w:ascii="Times New Roman" w:hAnsi="Times New Roman" w:cs="Times New Roman"/>
        </w:rPr>
      </w:pPr>
    </w:p>
    <w:p w14:paraId="27085103" w14:textId="77777777" w:rsidR="007365B3" w:rsidRP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If a particular field/detail in the application forms is not applicable, please mention the same as 'Not Applicable'</w:t>
      </w:r>
    </w:p>
    <w:p w14:paraId="051894FE" w14:textId="77777777" w:rsidR="007365B3" w:rsidRPr="007365B3" w:rsidRDefault="007365B3" w:rsidP="007365B3">
      <w:pPr>
        <w:widowControl w:val="0"/>
        <w:spacing w:after="0" w:line="240" w:lineRule="auto"/>
        <w:ind w:left="426" w:right="-187"/>
        <w:jc w:val="both"/>
        <w:rPr>
          <w:rFonts w:ascii="Times New Roman" w:hAnsi="Times New Roman" w:cs="Times New Roman"/>
        </w:rPr>
      </w:pPr>
    </w:p>
    <w:p w14:paraId="1B1890E5" w14:textId="6D1EB7B8" w:rsid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 xml:space="preserve">The application forms should be submitted duly completed in all respects and all details asked for in the forms should be filled. </w:t>
      </w:r>
    </w:p>
    <w:p w14:paraId="614F9A1C" w14:textId="77777777" w:rsidR="007365B3" w:rsidRPr="007365B3" w:rsidRDefault="007365B3" w:rsidP="007365B3">
      <w:pPr>
        <w:pStyle w:val="ListParagraph"/>
        <w:rPr>
          <w:rFonts w:ascii="Times New Roman" w:hAnsi="Times New Roman" w:cs="Times New Roman"/>
        </w:rPr>
      </w:pPr>
    </w:p>
    <w:p w14:paraId="187B52A6" w14:textId="4AB4C631" w:rsid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In case the space provided in the application form is not sufficient, information may be provided in separate sheets with appropriate reference to the concerned clause in the form and should be duly stamped and initialed by the authorised signatory.</w:t>
      </w:r>
    </w:p>
    <w:p w14:paraId="481B310B" w14:textId="77777777" w:rsidR="007365B3" w:rsidRPr="007365B3" w:rsidRDefault="007365B3" w:rsidP="007365B3">
      <w:pPr>
        <w:pStyle w:val="ListParagraph"/>
        <w:rPr>
          <w:rFonts w:ascii="Times New Roman" w:hAnsi="Times New Roman" w:cs="Times New Roman"/>
        </w:rPr>
      </w:pPr>
    </w:p>
    <w:p w14:paraId="4E1E5949" w14:textId="1CF965DE" w:rsid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Based on the details/documents submitted by the Applicant, the Exchange shall grant in-principle approval for listing of the securities to enable the depositories to credit the same to the beneficiaries accounts. The final listing and trading permission shall be granted by the Exchange upon receipt of the documents mentioned in the letter granting in-principle approval.</w:t>
      </w:r>
    </w:p>
    <w:p w14:paraId="0B5AD331" w14:textId="77777777" w:rsidR="007365B3" w:rsidRPr="007365B3" w:rsidRDefault="007365B3" w:rsidP="007365B3">
      <w:pPr>
        <w:pStyle w:val="ListParagraph"/>
        <w:rPr>
          <w:rFonts w:ascii="Times New Roman" w:hAnsi="Times New Roman" w:cs="Times New Roman"/>
        </w:rPr>
      </w:pPr>
    </w:p>
    <w:p w14:paraId="7D541B16" w14:textId="172D7483" w:rsid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The Exchange reserves the right to ask for documents other than those mentioned above.</w:t>
      </w:r>
    </w:p>
    <w:p w14:paraId="10670B5A" w14:textId="77777777" w:rsidR="007365B3" w:rsidRPr="007365B3" w:rsidRDefault="007365B3" w:rsidP="007365B3">
      <w:pPr>
        <w:pStyle w:val="ListParagraph"/>
        <w:rPr>
          <w:rFonts w:ascii="Times New Roman" w:hAnsi="Times New Roman" w:cs="Times New Roman"/>
        </w:rPr>
      </w:pPr>
    </w:p>
    <w:p w14:paraId="6184FA43" w14:textId="01929517" w:rsidR="002F2B63" w:rsidRPr="007365B3" w:rsidRDefault="002F2B63" w:rsidP="002F2B6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Generally, the Exchange reverts to the company with the queries/approval on the application within T+</w:t>
      </w:r>
      <w:r>
        <w:rPr>
          <w:rFonts w:ascii="Times New Roman" w:hAnsi="Times New Roman" w:cs="Times New Roman"/>
        </w:rPr>
        <w:t>3</w:t>
      </w:r>
      <w:r w:rsidRPr="007365B3">
        <w:rPr>
          <w:rFonts w:ascii="Times New Roman" w:hAnsi="Times New Roman" w:cs="Times New Roman"/>
        </w:rPr>
        <w:t xml:space="preserve"> working days. However, additional days may be required on case-to-case basis.</w:t>
      </w:r>
    </w:p>
    <w:p w14:paraId="13D58BA5" w14:textId="77777777" w:rsidR="002F2B63" w:rsidRDefault="002F2B63" w:rsidP="002F2B63">
      <w:pPr>
        <w:pStyle w:val="ListParagraph"/>
        <w:widowControl w:val="0"/>
        <w:spacing w:after="0" w:line="240" w:lineRule="auto"/>
        <w:ind w:left="1146" w:right="-187"/>
        <w:jc w:val="both"/>
        <w:rPr>
          <w:rFonts w:ascii="Times New Roman" w:hAnsi="Times New Roman" w:cs="Times New Roman"/>
        </w:rPr>
      </w:pPr>
    </w:p>
    <w:p w14:paraId="3C53F7CA" w14:textId="388ED398" w:rsid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Please affix rubber stamp of the issuer and initials of the authorised signatory on every page of the application and the supporting documents.</w:t>
      </w:r>
    </w:p>
    <w:p w14:paraId="07D9D8BD" w14:textId="77777777" w:rsidR="007365B3" w:rsidRPr="007365B3" w:rsidRDefault="007365B3" w:rsidP="007365B3">
      <w:pPr>
        <w:pStyle w:val="ListParagraph"/>
        <w:rPr>
          <w:rFonts w:ascii="Times New Roman" w:hAnsi="Times New Roman" w:cs="Times New Roman"/>
        </w:rPr>
      </w:pPr>
    </w:p>
    <w:p w14:paraId="4A1C3137" w14:textId="4B1C2E06" w:rsidR="004E6DD8" w:rsidRPr="007365B3" w:rsidRDefault="007365B3" w:rsidP="007365B3">
      <w:pPr>
        <w:pStyle w:val="ListParagraph"/>
        <w:widowControl w:val="0"/>
        <w:numPr>
          <w:ilvl w:val="0"/>
          <w:numId w:val="12"/>
        </w:numPr>
        <w:spacing w:after="0" w:line="240" w:lineRule="auto"/>
        <w:ind w:right="-187"/>
        <w:jc w:val="both"/>
        <w:rPr>
          <w:rFonts w:ascii="Times New Roman" w:hAnsi="Times New Roman" w:cs="Times New Roman"/>
        </w:rPr>
      </w:pPr>
      <w:r w:rsidRPr="007365B3">
        <w:rPr>
          <w:rFonts w:ascii="Times New Roman" w:hAnsi="Times New Roman" w:cs="Times New Roman"/>
        </w:rPr>
        <w:t>Every application must commence with the checklist of relevant type of issue duly completed, stamped and initialled by the authorised signatory. Non-submission of the checklist will be taken as incomplete application</w:t>
      </w:r>
      <w:r w:rsidR="006160C2">
        <w:rPr>
          <w:rFonts w:ascii="Times New Roman" w:hAnsi="Times New Roman" w:cs="Times New Roman"/>
        </w:rPr>
        <w:t>.</w:t>
      </w:r>
    </w:p>
    <w:p w14:paraId="03F4EB48" w14:textId="77777777" w:rsidR="004E6DD8" w:rsidRPr="00C447B5" w:rsidRDefault="004E6DD8" w:rsidP="004E6DD8">
      <w:pPr>
        <w:widowControl w:val="0"/>
        <w:spacing w:after="0" w:line="240" w:lineRule="auto"/>
        <w:ind w:left="426" w:right="-187"/>
        <w:rPr>
          <w:rFonts w:ascii="Times New Roman" w:hAnsi="Times New Roman" w:cs="Times New Roman"/>
          <w:b/>
        </w:rPr>
      </w:pPr>
    </w:p>
    <w:p w14:paraId="3437ED73" w14:textId="2549A991" w:rsidR="00535A8A" w:rsidRPr="00C447B5" w:rsidRDefault="00535A8A">
      <w:pPr>
        <w:rPr>
          <w:rFonts w:ascii="Times New Roman" w:hAnsi="Times New Roman" w:cs="Times New Roman"/>
          <w:b/>
        </w:rPr>
      </w:pPr>
    </w:p>
    <w:p w14:paraId="26C376B8" w14:textId="77777777" w:rsidR="004E6DD8" w:rsidRPr="00C447B5" w:rsidRDefault="004E6DD8" w:rsidP="002F2B63">
      <w:pPr>
        <w:widowControl w:val="0"/>
        <w:spacing w:after="0" w:line="240" w:lineRule="auto"/>
        <w:ind w:right="-187"/>
        <w:rPr>
          <w:rFonts w:ascii="Times New Roman" w:hAnsi="Times New Roman" w:cs="Times New Roman"/>
          <w:b/>
        </w:rPr>
      </w:pPr>
    </w:p>
    <w:sectPr w:rsidR="004E6DD8" w:rsidRPr="00C447B5" w:rsidSect="0047173A">
      <w:headerReference w:type="default" r:id="rId8"/>
      <w:foot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14CE" w14:textId="77777777" w:rsidR="00884D0B" w:rsidRDefault="00884D0B" w:rsidP="008601C9">
      <w:pPr>
        <w:spacing w:after="0" w:line="240" w:lineRule="auto"/>
      </w:pPr>
      <w:r>
        <w:separator/>
      </w:r>
    </w:p>
  </w:endnote>
  <w:endnote w:type="continuationSeparator" w:id="0">
    <w:p w14:paraId="21EDD791" w14:textId="77777777" w:rsidR="00884D0B" w:rsidRDefault="00884D0B" w:rsidP="0086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0A28" w14:textId="3A537CAD" w:rsidR="00765C43" w:rsidRDefault="00765C43">
    <w:pPr>
      <w:pStyle w:val="Footer"/>
    </w:pPr>
    <w:r>
      <w:rPr>
        <w:noProof/>
      </w:rPr>
      <mc:AlternateContent>
        <mc:Choice Requires="wps">
          <w:drawing>
            <wp:anchor distT="0" distB="0" distL="114300" distR="114300" simplePos="0" relativeHeight="251659264" behindDoc="0" locked="0" layoutInCell="0" allowOverlap="1" wp14:anchorId="2FE2C666" wp14:editId="1EF2335D">
              <wp:simplePos x="0" y="0"/>
              <wp:positionH relativeFrom="page">
                <wp:posOffset>0</wp:posOffset>
              </wp:positionH>
              <wp:positionV relativeFrom="page">
                <wp:posOffset>9594215</wp:posOffset>
              </wp:positionV>
              <wp:extent cx="7772400" cy="273050"/>
              <wp:effectExtent l="0" t="0" r="0" b="12700"/>
              <wp:wrapNone/>
              <wp:docPr id="2" name="MSIPCMd2894cd78ce05e6ce1ff2e0f" descr="{&quot;HashCode&quot;:-15208129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3D27DE" w14:textId="68F9A9C3" w:rsidR="00765C43" w:rsidRPr="00765C43" w:rsidRDefault="00765C43" w:rsidP="00765C43">
                          <w:pPr>
                            <w:spacing w:after="0"/>
                            <w:jc w:val="center"/>
                            <w:rPr>
                              <w:rFonts w:ascii="Calibri" w:hAnsi="Calibri" w:cs="Calibri"/>
                              <w:color w:val="A80000"/>
                              <w:sz w:val="20"/>
                            </w:rPr>
                          </w:pPr>
                          <w:r w:rsidRPr="00765C43">
                            <w:rPr>
                              <w:rFonts w:ascii="Calibri" w:hAnsi="Calibri" w:cs="Calibri"/>
                              <w:color w:val="A8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E2C666" id="_x0000_t202" coordsize="21600,21600" o:spt="202" path="m,l,21600r21600,l21600,xe">
              <v:stroke joinstyle="miter"/>
              <v:path gradientshapeok="t" o:connecttype="rect"/>
            </v:shapetype>
            <v:shape id="MSIPCMd2894cd78ce05e6ce1ff2e0f" o:spid="_x0000_s1026" type="#_x0000_t202" alt="{&quot;HashCode&quot;:-152081291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BLwt0ArAIAAEcFAAAOAAAAAAAA&#10;AAAAAAAAAC4CAABkcnMvZTJvRG9jLnhtbFBLAQItABQABgAIAAAAIQD7pgnR3gAAAAsBAAAPAAAA&#10;AAAAAAAAAAAAAAYFAABkcnMvZG93bnJldi54bWxQSwUGAAAAAAQABADzAAAAEQYAAAAA&#10;" o:allowincell="f" filled="f" stroked="f" strokeweight=".5pt">
              <v:textbox inset=",0,,0">
                <w:txbxContent>
                  <w:p w14:paraId="6A3D27DE" w14:textId="68F9A9C3" w:rsidR="00765C43" w:rsidRPr="00765C43" w:rsidRDefault="00765C43" w:rsidP="00765C43">
                    <w:pPr>
                      <w:spacing w:after="0"/>
                      <w:jc w:val="center"/>
                      <w:rPr>
                        <w:rFonts w:ascii="Calibri" w:hAnsi="Calibri" w:cs="Calibri"/>
                        <w:color w:val="A80000"/>
                        <w:sz w:val="20"/>
                      </w:rPr>
                    </w:pPr>
                    <w:r w:rsidRPr="00765C43">
                      <w:rPr>
                        <w:rFonts w:ascii="Calibri" w:hAnsi="Calibri"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B67B" w14:textId="77777777" w:rsidR="00884D0B" w:rsidRDefault="00884D0B" w:rsidP="008601C9">
      <w:pPr>
        <w:spacing w:after="0" w:line="240" w:lineRule="auto"/>
      </w:pPr>
      <w:r>
        <w:separator/>
      </w:r>
    </w:p>
  </w:footnote>
  <w:footnote w:type="continuationSeparator" w:id="0">
    <w:p w14:paraId="5DD2060D" w14:textId="77777777" w:rsidR="00884D0B" w:rsidRDefault="00884D0B" w:rsidP="0086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283D" w14:textId="77777777" w:rsidR="00644692" w:rsidRDefault="00644692" w:rsidP="00304456">
    <w:pPr>
      <w:pStyle w:val="Header"/>
    </w:pPr>
    <w:r>
      <w:rPr>
        <w:noProof/>
      </w:rPr>
      <w:drawing>
        <wp:inline distT="0" distB="0" distL="0" distR="0" wp14:anchorId="649BE6F3" wp14:editId="4BF7E5E6">
          <wp:extent cx="638175" cy="552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817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11D5"/>
    <w:multiLevelType w:val="hybridMultilevel"/>
    <w:tmpl w:val="B9683968"/>
    <w:lvl w:ilvl="0" w:tplc="DE3C42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5AF6F43"/>
    <w:multiLevelType w:val="hybridMultilevel"/>
    <w:tmpl w:val="DDB6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5D60"/>
    <w:multiLevelType w:val="hybridMultilevel"/>
    <w:tmpl w:val="6B54E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F7589"/>
    <w:multiLevelType w:val="hybridMultilevel"/>
    <w:tmpl w:val="A3904002"/>
    <w:lvl w:ilvl="0" w:tplc="E79E36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601C9"/>
    <w:multiLevelType w:val="hybridMultilevel"/>
    <w:tmpl w:val="D7021EB4"/>
    <w:lvl w:ilvl="0" w:tplc="E5AA70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11068"/>
    <w:multiLevelType w:val="hybridMultilevel"/>
    <w:tmpl w:val="C598D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2625D"/>
    <w:multiLevelType w:val="hybridMultilevel"/>
    <w:tmpl w:val="93186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B66A5"/>
    <w:multiLevelType w:val="hybridMultilevel"/>
    <w:tmpl w:val="0F1265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44851D2"/>
    <w:multiLevelType w:val="hybridMultilevel"/>
    <w:tmpl w:val="1D14F0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49C70BAB"/>
    <w:multiLevelType w:val="hybridMultilevel"/>
    <w:tmpl w:val="7D8E30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721B44"/>
    <w:multiLevelType w:val="hybridMultilevel"/>
    <w:tmpl w:val="AE0A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05A31"/>
    <w:multiLevelType w:val="hybridMultilevel"/>
    <w:tmpl w:val="689EE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12E94"/>
    <w:multiLevelType w:val="hybridMultilevel"/>
    <w:tmpl w:val="33A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078D5"/>
    <w:multiLevelType w:val="hybridMultilevel"/>
    <w:tmpl w:val="C598D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5"/>
  </w:num>
  <w:num w:numId="5">
    <w:abstractNumId w:val="3"/>
  </w:num>
  <w:num w:numId="6">
    <w:abstractNumId w:val="12"/>
  </w:num>
  <w:num w:numId="7">
    <w:abstractNumId w:val="6"/>
  </w:num>
  <w:num w:numId="8">
    <w:abstractNumId w:val="4"/>
  </w:num>
  <w:num w:numId="9">
    <w:abstractNumId w:val="9"/>
  </w:num>
  <w:num w:numId="10">
    <w:abstractNumId w:val="1"/>
  </w:num>
  <w:num w:numId="11">
    <w:abstractNumId w:val="10"/>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02"/>
    <w:rsid w:val="0011175F"/>
    <w:rsid w:val="0012555B"/>
    <w:rsid w:val="00126212"/>
    <w:rsid w:val="00151351"/>
    <w:rsid w:val="001600E2"/>
    <w:rsid w:val="001602B3"/>
    <w:rsid w:val="00186CC8"/>
    <w:rsid w:val="001911D1"/>
    <w:rsid w:val="001B1FA1"/>
    <w:rsid w:val="001E5AC6"/>
    <w:rsid w:val="002078BA"/>
    <w:rsid w:val="002924FC"/>
    <w:rsid w:val="002C17CD"/>
    <w:rsid w:val="002D3C98"/>
    <w:rsid w:val="002F2B63"/>
    <w:rsid w:val="00304456"/>
    <w:rsid w:val="00322521"/>
    <w:rsid w:val="00332915"/>
    <w:rsid w:val="003B120A"/>
    <w:rsid w:val="003D3C3C"/>
    <w:rsid w:val="003F3652"/>
    <w:rsid w:val="00404E05"/>
    <w:rsid w:val="00430B91"/>
    <w:rsid w:val="00456E9A"/>
    <w:rsid w:val="00462EED"/>
    <w:rsid w:val="0047173A"/>
    <w:rsid w:val="00487920"/>
    <w:rsid w:val="004D1E09"/>
    <w:rsid w:val="004E6DD8"/>
    <w:rsid w:val="00535A8A"/>
    <w:rsid w:val="005677B5"/>
    <w:rsid w:val="00574551"/>
    <w:rsid w:val="005901D6"/>
    <w:rsid w:val="005C3502"/>
    <w:rsid w:val="005C3DC0"/>
    <w:rsid w:val="006160C2"/>
    <w:rsid w:val="00644692"/>
    <w:rsid w:val="006C0406"/>
    <w:rsid w:val="00716164"/>
    <w:rsid w:val="007365B3"/>
    <w:rsid w:val="007440AA"/>
    <w:rsid w:val="00765C43"/>
    <w:rsid w:val="007A69F1"/>
    <w:rsid w:val="007C27D4"/>
    <w:rsid w:val="00825B02"/>
    <w:rsid w:val="008601C9"/>
    <w:rsid w:val="00867E79"/>
    <w:rsid w:val="00884D0B"/>
    <w:rsid w:val="008B2049"/>
    <w:rsid w:val="00A57FD0"/>
    <w:rsid w:val="00AB2AEA"/>
    <w:rsid w:val="00AC624C"/>
    <w:rsid w:val="00AE11E2"/>
    <w:rsid w:val="00AE1BA8"/>
    <w:rsid w:val="00BA6162"/>
    <w:rsid w:val="00BB1673"/>
    <w:rsid w:val="00BB4353"/>
    <w:rsid w:val="00BD2C9F"/>
    <w:rsid w:val="00C23111"/>
    <w:rsid w:val="00C32C0E"/>
    <w:rsid w:val="00C447B5"/>
    <w:rsid w:val="00C51787"/>
    <w:rsid w:val="00C82832"/>
    <w:rsid w:val="00D14F26"/>
    <w:rsid w:val="00D60EDE"/>
    <w:rsid w:val="00DE662B"/>
    <w:rsid w:val="00DF309B"/>
    <w:rsid w:val="00E21C1D"/>
    <w:rsid w:val="00E232D3"/>
    <w:rsid w:val="00E57754"/>
    <w:rsid w:val="00F05F59"/>
    <w:rsid w:val="00F72DE6"/>
    <w:rsid w:val="00F859F4"/>
    <w:rsid w:val="00FC01C1"/>
    <w:rsid w:val="00FD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7DF91"/>
  <w15:chartTrackingRefBased/>
  <w15:docId w15:val="{D558F99A-0A43-4A12-949A-50B3DB8F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0AA"/>
    <w:pPr>
      <w:ind w:left="720"/>
      <w:contextualSpacing/>
    </w:pPr>
  </w:style>
  <w:style w:type="paragraph" w:styleId="BodyTextIndent">
    <w:name w:val="Body Text Indent"/>
    <w:basedOn w:val="Normal"/>
    <w:link w:val="BodyTextIndentChar"/>
    <w:rsid w:val="001602B3"/>
    <w:pPr>
      <w:spacing w:after="0" w:line="240" w:lineRule="auto"/>
      <w:ind w:left="432"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602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C9"/>
  </w:style>
  <w:style w:type="paragraph" w:styleId="Footer">
    <w:name w:val="footer"/>
    <w:basedOn w:val="Normal"/>
    <w:link w:val="FooterChar"/>
    <w:uiPriority w:val="99"/>
    <w:unhideWhenUsed/>
    <w:rsid w:val="0086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1C9"/>
  </w:style>
  <w:style w:type="paragraph" w:styleId="BalloonText">
    <w:name w:val="Balloon Text"/>
    <w:basedOn w:val="Normal"/>
    <w:link w:val="BalloonTextChar"/>
    <w:uiPriority w:val="99"/>
    <w:semiHidden/>
    <w:unhideWhenUsed/>
    <w:rsid w:val="00207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BA"/>
    <w:rPr>
      <w:rFonts w:ascii="Segoe UI" w:hAnsi="Segoe UI" w:cs="Segoe UI"/>
      <w:sz w:val="18"/>
      <w:szCs w:val="18"/>
    </w:rPr>
  </w:style>
  <w:style w:type="paragraph" w:styleId="Revision">
    <w:name w:val="Revision"/>
    <w:hidden/>
    <w:uiPriority w:val="99"/>
    <w:semiHidden/>
    <w:rsid w:val="00456E9A"/>
    <w:pPr>
      <w:spacing w:after="0" w:line="240" w:lineRule="auto"/>
    </w:pPr>
  </w:style>
  <w:style w:type="character" w:styleId="Hyperlink">
    <w:name w:val="Hyperlink"/>
    <w:basedOn w:val="DefaultParagraphFont"/>
    <w:uiPriority w:val="99"/>
    <w:unhideWhenUsed/>
    <w:rsid w:val="007365B3"/>
    <w:rPr>
      <w:color w:val="0563C1" w:themeColor="hyperlink"/>
      <w:u w:val="single"/>
    </w:rPr>
  </w:style>
  <w:style w:type="character" w:styleId="UnresolvedMention">
    <w:name w:val="Unresolved Mention"/>
    <w:basedOn w:val="DefaultParagraphFont"/>
    <w:uiPriority w:val="99"/>
    <w:semiHidden/>
    <w:unhideWhenUsed/>
    <w:rsid w:val="0073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9345">
      <w:bodyDiv w:val="1"/>
      <w:marLeft w:val="0"/>
      <w:marRight w:val="0"/>
      <w:marTop w:val="0"/>
      <w:marBottom w:val="0"/>
      <w:divBdr>
        <w:top w:val="none" w:sz="0" w:space="0" w:color="auto"/>
        <w:left w:val="none" w:sz="0" w:space="0" w:color="auto"/>
        <w:bottom w:val="none" w:sz="0" w:space="0" w:color="auto"/>
        <w:right w:val="none" w:sz="0" w:space="0" w:color="auto"/>
      </w:divBdr>
    </w:div>
    <w:div w:id="418913421">
      <w:bodyDiv w:val="1"/>
      <w:marLeft w:val="0"/>
      <w:marRight w:val="0"/>
      <w:marTop w:val="0"/>
      <w:marBottom w:val="0"/>
      <w:divBdr>
        <w:top w:val="none" w:sz="0" w:space="0" w:color="auto"/>
        <w:left w:val="none" w:sz="0" w:space="0" w:color="auto"/>
        <w:bottom w:val="none" w:sz="0" w:space="0" w:color="auto"/>
        <w:right w:val="none" w:sz="0" w:space="0" w:color="auto"/>
      </w:divBdr>
    </w:div>
    <w:div w:id="857623784">
      <w:bodyDiv w:val="1"/>
      <w:marLeft w:val="0"/>
      <w:marRight w:val="0"/>
      <w:marTop w:val="0"/>
      <w:marBottom w:val="0"/>
      <w:divBdr>
        <w:top w:val="none" w:sz="0" w:space="0" w:color="auto"/>
        <w:left w:val="none" w:sz="0" w:space="0" w:color="auto"/>
        <w:bottom w:val="none" w:sz="0" w:space="0" w:color="auto"/>
        <w:right w:val="none" w:sz="0" w:space="0" w:color="auto"/>
      </w:divBdr>
    </w:div>
    <w:div w:id="1072192333">
      <w:bodyDiv w:val="1"/>
      <w:marLeft w:val="0"/>
      <w:marRight w:val="0"/>
      <w:marTop w:val="0"/>
      <w:marBottom w:val="0"/>
      <w:divBdr>
        <w:top w:val="none" w:sz="0" w:space="0" w:color="auto"/>
        <w:left w:val="none" w:sz="0" w:space="0" w:color="auto"/>
        <w:bottom w:val="none" w:sz="0" w:space="0" w:color="auto"/>
        <w:right w:val="none" w:sz="0" w:space="0" w:color="auto"/>
      </w:divBdr>
    </w:div>
    <w:div w:id="1233545500">
      <w:bodyDiv w:val="1"/>
      <w:marLeft w:val="0"/>
      <w:marRight w:val="0"/>
      <w:marTop w:val="0"/>
      <w:marBottom w:val="0"/>
      <w:divBdr>
        <w:top w:val="none" w:sz="0" w:space="0" w:color="auto"/>
        <w:left w:val="none" w:sz="0" w:space="0" w:color="auto"/>
        <w:bottom w:val="none" w:sz="0" w:space="0" w:color="auto"/>
        <w:right w:val="none" w:sz="0" w:space="0" w:color="auto"/>
      </w:divBdr>
    </w:div>
    <w:div w:id="1239826729">
      <w:bodyDiv w:val="1"/>
      <w:marLeft w:val="0"/>
      <w:marRight w:val="0"/>
      <w:marTop w:val="0"/>
      <w:marBottom w:val="0"/>
      <w:divBdr>
        <w:top w:val="none" w:sz="0" w:space="0" w:color="auto"/>
        <w:left w:val="none" w:sz="0" w:space="0" w:color="auto"/>
        <w:bottom w:val="none" w:sz="0" w:space="0" w:color="auto"/>
        <w:right w:val="none" w:sz="0" w:space="0" w:color="auto"/>
      </w:divBdr>
    </w:div>
    <w:div w:id="1717659771">
      <w:bodyDiv w:val="1"/>
      <w:marLeft w:val="0"/>
      <w:marRight w:val="0"/>
      <w:marTop w:val="0"/>
      <w:marBottom w:val="0"/>
      <w:divBdr>
        <w:top w:val="none" w:sz="0" w:space="0" w:color="auto"/>
        <w:left w:val="none" w:sz="0" w:space="0" w:color="auto"/>
        <w:bottom w:val="none" w:sz="0" w:space="0" w:color="auto"/>
        <w:right w:val="none" w:sz="0" w:space="0" w:color="auto"/>
      </w:divBdr>
    </w:div>
    <w:div w:id="20771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E058-185B-46C7-B14E-E1770C21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Jiten Patel (LISCO)</cp:lastModifiedBy>
  <cp:revision>10</cp:revision>
  <dcterms:created xsi:type="dcterms:W3CDTF">2021-08-26T15:07:00Z</dcterms:created>
  <dcterms:modified xsi:type="dcterms:W3CDTF">2022-07-07T08:37:00Z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2022-07-07T08:37:25Z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29e81188-f5d0-4c1e-9184-fd5c1700a8a3</vt:lpwstr>
  </property>
  <property fmtid="{D5CDD505-2E9C-101B-9397-08002B2CF9AE}" pid="8" name="MSIP_Label_f4479928-bf72-407d-92c0-68909117d533_ContentBits">
    <vt:lpwstr>2</vt:lpwstr>
  </property>
</Properties>
</file>